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Apéndice A. Análisis de Oferta y Demanda </w:t>
      </w:r>
    </w:p>
    <w:p w:rsidR="00000000" w:rsidDel="00000000" w:rsidP="00000000" w:rsidRDefault="00000000" w:rsidRPr="00000000" w14:paraId="00000002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480" w:lineRule="auto"/>
        <w:ind w:left="0" w:firstLine="720.0000000000001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El mercado de suplementación en Colombia ha estado experimentando un gran crecimiento los últimos años, particularmente en 2023 creció un 12% según el estudio más reciente realizado por Euromonitor donde los suplementos no herbales fue la categoría de mayor crecimiento, con un 14% donde HLF Colombia destaca como empresa líder, empresa que opera bajo el nombre de Herbalife. El mismo estudio señala las marcas nacionales más grandes vinculadas a los suplementos dietarios, recopiladas en la tabla a continuación.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480" w:lineRule="auto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Figura 1 </w:t>
      </w:r>
    </w:p>
    <w:p w:rsidR="00000000" w:rsidDel="00000000" w:rsidP="00000000" w:rsidRDefault="00000000" w:rsidRPr="00000000" w14:paraId="00000005">
      <w:pPr>
        <w:spacing w:line="480" w:lineRule="auto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Propietarios de marcas nacionales</w:t>
      </w:r>
    </w:p>
    <w:p w:rsidR="00000000" w:rsidDel="00000000" w:rsidP="00000000" w:rsidRDefault="00000000" w:rsidRPr="00000000" w14:paraId="00000006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</w:rPr>
        <w:drawing>
          <wp:inline distB="114300" distT="114300" distL="114300" distR="114300">
            <wp:extent cx="5133975" cy="3445392"/>
            <wp:effectExtent b="0" l="0" r="0" t="0"/>
            <wp:docPr id="2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133975" cy="3445392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Nota: </w:t>
      </w:r>
    </w:p>
    <w:p w:rsidR="00000000" w:rsidDel="00000000" w:rsidP="00000000" w:rsidRDefault="00000000" w:rsidRPr="00000000" w14:paraId="00000008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480" w:lineRule="auto"/>
        <w:ind w:left="0" w:firstLine="720.000000000000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El mismo estudio menciona las acciones de empresas de suplementos dietéticos donde se incluyen empresas nacionales de gran participación en el mercado, las cuales resulta pertinente analizar.</w:t>
      </w:r>
    </w:p>
    <w:p w:rsidR="00000000" w:rsidDel="00000000" w:rsidP="00000000" w:rsidRDefault="00000000" w:rsidRPr="00000000" w14:paraId="0000000A">
      <w:pPr>
        <w:spacing w:line="480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Figura 2</w:t>
      </w:r>
    </w:p>
    <w:p w:rsidR="00000000" w:rsidDel="00000000" w:rsidP="00000000" w:rsidRDefault="00000000" w:rsidRPr="00000000" w14:paraId="0000000B">
      <w:pPr>
        <w:spacing w:line="480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Acciones de empresas de suplementos dietéticos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center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</w:rPr>
        <w:drawing>
          <wp:inline distB="114300" distT="114300" distL="114300" distR="114300">
            <wp:extent cx="4730588" cy="2488486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4730588" cy="2488486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480" w:lineRule="auto"/>
        <w:jc w:val="center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Nota: </w:t>
      </w:r>
    </w:p>
    <w:p w:rsidR="00000000" w:rsidDel="00000000" w:rsidP="00000000" w:rsidRDefault="00000000" w:rsidRPr="00000000" w14:paraId="00000010">
      <w:pPr>
        <w:spacing w:line="480" w:lineRule="auto"/>
        <w:ind w:left="0" w:firstLine="720.000000000000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Entre ellas, se encuentra Tecnoquimicas SA que junto a Pfizer Inc y JGB Laboratorios representaban más del 30% de participación en el mercado a 2015 (Euromonitor 2014) y se consolidan como agentes poderosos de la industria. Es importante tomar en cuenta la naturaleza de estas empresas, las cuales en su mayoría cuentan con laboratorios y plantas productivas robustas por lo que no entran en la categoría de la propuesta en estudio, sin embargo es importante conocer el panorama actual del mercado de suplementación nacional. </w:t>
      </w:r>
    </w:p>
    <w:p w:rsidR="00000000" w:rsidDel="00000000" w:rsidP="00000000" w:rsidRDefault="00000000" w:rsidRPr="00000000" w14:paraId="00000011">
      <w:pPr>
        <w:spacing w:line="480" w:lineRule="auto"/>
        <w:ind w:left="0" w:firstLine="720.000000000000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Por otro lado en el estudio de mercados “El mercado de suplementos alimenticios en Colombia 2024” realizado por ICEX España Exportación e inversiones destaca la popularidad de Savvy, Going y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Nutramerican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Pharma como marcas nacionales las cuales son reconocidas entre la comunidad deportista; del mismo modo, marcas como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proscience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e IMN surgen como marcas emergentes de los últimos años, las cuales se muestran más afines a la propuesta a desarrollar. </w:t>
      </w:r>
    </w:p>
    <w:p w:rsidR="00000000" w:rsidDel="00000000" w:rsidP="00000000" w:rsidRDefault="00000000" w:rsidRPr="00000000" w14:paraId="00000012">
      <w:pPr>
        <w:spacing w:line="480" w:lineRule="auto"/>
        <w:ind w:left="0" w:firstLine="720.000000000000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Nutramercian Pharma se posiciona como una de las empresas más importantes de suplementación en el país, siendo los mayores importadores de Whey Protein y con una alta trayectoria en temas de desarrollo y  comercialización, Adicional a ello cuentan con una planta productiva con una alta capacidad productiva ubicada en la Zona franca del pacifico, Palmira, Colombia. Según el sistema de consultas Compite 360,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Nutramerican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Pharma cuenta con un patrimonio de $48.837 millones de pesos, un valor en ventas de $55.760 millones de pesos y una utilidad neta de $14.712 millones de pesos al 31 de Marzo del 2025 (última información financiera reportada) A pesar de que es una empresa dentro de la categoría de gran empresa, sus productos representan un elemento competitivo para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BlossomVit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y brindan un precedente del mercado de suplementación nacional y el potencial de crecimiento de marcas del sector.</w:t>
      </w:r>
    </w:p>
    <w:p w:rsidR="00000000" w:rsidDel="00000000" w:rsidP="00000000" w:rsidRDefault="00000000" w:rsidRPr="00000000" w14:paraId="00000013">
      <w:pPr>
        <w:spacing w:line="480" w:lineRule="auto"/>
        <w:ind w:left="0" w:firstLine="720.0000000000001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 continuación se presenta un breve análisis de las principales marcas nacionales de suplementación.</w:t>
      </w:r>
    </w:p>
    <w:p w:rsidR="00000000" w:rsidDel="00000000" w:rsidP="00000000" w:rsidRDefault="00000000" w:rsidRPr="00000000" w14:paraId="00000014">
      <w:pPr>
        <w:spacing w:line="480" w:lineRule="auto"/>
        <w:jc w:val="both"/>
        <w:rPr>
          <w:rFonts w:ascii="Times New Roman" w:cs="Times New Roman" w:eastAsia="Times New Roman" w:hAnsi="Times New Roman"/>
          <w:b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Tabla 1</w:t>
      </w:r>
    </w:p>
    <w:p w:rsidR="00000000" w:rsidDel="00000000" w:rsidP="00000000" w:rsidRDefault="00000000" w:rsidRPr="00000000" w14:paraId="00000015">
      <w:pPr>
        <w:spacing w:line="48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Análisis de marcas nacionales </w:t>
      </w:r>
      <w:r w:rsidDel="00000000" w:rsidR="00000000" w:rsidRPr="00000000">
        <w:rPr>
          <w:rtl w:val="0"/>
        </w:rPr>
      </w:r>
    </w:p>
    <w:tbl>
      <w:tblPr>
        <w:tblStyle w:val="Table1"/>
        <w:tblW w:w="9634.999999999998" w:type="dxa"/>
        <w:jc w:val="left"/>
        <w:tblLayout w:type="fixed"/>
        <w:tblLook w:val="0600"/>
      </w:tblPr>
      <w:tblGrid>
        <w:gridCol w:w="1695"/>
        <w:gridCol w:w="1995"/>
        <w:gridCol w:w="2310"/>
        <w:gridCol w:w="1935"/>
        <w:gridCol w:w="1699.9999999999989"/>
        <w:tblGridChange w:id="0">
          <w:tblGrid>
            <w:gridCol w:w="1695"/>
            <w:gridCol w:w="1995"/>
            <w:gridCol w:w="2310"/>
            <w:gridCol w:w="1935"/>
            <w:gridCol w:w="1699.9999999999989"/>
          </w:tblGrid>
        </w:tblGridChange>
      </w:tblGrid>
      <w:tr>
        <w:trPr>
          <w:cantSplit w:val="0"/>
          <w:trHeight w:val="509.96093749999545" w:hRule="atLeast"/>
          <w:tblHeader w:val="0"/>
        </w:trPr>
        <w:tc>
          <w:tcPr>
            <w:tcBorders>
              <w:top w:color="000000" w:space="0" w:sz="8" w:val="single"/>
              <w:bottom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Empresa 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spacing w:line="480" w:lineRule="auto"/>
              <w:jc w:val="both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Savvy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spacing w:line="480" w:lineRule="auto"/>
              <w:jc w:val="both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Nutramerican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 Pharma</w:t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spacing w:line="480" w:lineRule="auto"/>
              <w:jc w:val="both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P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roscience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bottom w:color="000000" w:space="0" w:sz="8" w:val="single"/>
            </w:tcBorders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spacing w:line="480" w:lineRule="auto"/>
              <w:jc w:val="both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IMN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</w:tcBorders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Descripción </w:t>
            </w:r>
          </w:p>
        </w:tc>
        <w:tc>
          <w:tcPr>
            <w:tcBorders>
              <w:top w:color="000000" w:space="0" w:sz="8" w:val="single"/>
            </w:tcBorders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Marca de suplementos dietarios </w:t>
            </w:r>
          </w:p>
        </w:tc>
        <w:tc>
          <w:tcPr>
            <w:tcBorders>
              <w:top w:color="000000" w:space="0" w:sz="8" w:val="single"/>
            </w:tcBorders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Productora y comercializadora de suplementos dietarios</w:t>
            </w:r>
          </w:p>
        </w:tc>
        <w:tc>
          <w:tcPr>
            <w:tcBorders>
              <w:top w:color="000000" w:space="0" w:sz="8" w:val="single"/>
            </w:tcBorders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Productora y comercializadora de suplementos dietarios</w:t>
            </w:r>
          </w:p>
        </w:tc>
        <w:tc>
          <w:tcPr>
            <w:tcBorders>
              <w:top w:color="000000" w:space="0" w:sz="8" w:val="single"/>
            </w:tcBorders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Productora y comercializadora de suplementos dietarios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Origen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Bogotá, Colombia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Palmira, Colombia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Medellín,Colombia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Ibagué, Colombia</w:t>
            </w:r>
          </w:p>
        </w:tc>
      </w:tr>
      <w:tr>
        <w:trPr>
          <w:cantSplit w:val="0"/>
          <w:tblHeader w:val="0"/>
        </w:trPr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Antigüedad</w:t>
            </w:r>
          </w:p>
        </w:tc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6 años</w:t>
            </w:r>
          </w:p>
        </w:tc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20 años</w:t>
            </w:r>
          </w:p>
        </w:tc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8 años</w:t>
            </w:r>
          </w:p>
        </w:tc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6 años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Producto Estrella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Bone Broth Power      (Proteina de caldo de hueso)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Biopro (Whey protein)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Legacy (Creatina)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The whey of IMN (Whey protein)</w:t>
            </w:r>
          </w:p>
        </w:tc>
      </w:tr>
      <w:tr>
        <w:trPr>
          <w:cantSplit w:val="0"/>
          <w:tblHeader w:val="0"/>
        </w:trPr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Rangos de precio </w:t>
            </w:r>
          </w:p>
        </w:tc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$100.000- $150.000</w:t>
            </w:r>
          </w:p>
        </w:tc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$100.000- $300.000</w:t>
            </w:r>
          </w:p>
        </w:tc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$100.000- $370.000</w:t>
            </w:r>
          </w:p>
        </w:tc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$50.000-$450.000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Estrategia de producto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Desarrollos respaldados por la comunidad médica con verificación bioquímica 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Producción nacional con su propia planta, enfocada en la comunidad fitness y culturismo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Componentes a la vanguardia en desarrollo y sabores distintivos en el mercado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portafolio de productos amplio con precios competitivos </w:t>
            </w:r>
          </w:p>
        </w:tc>
      </w:tr>
      <w:tr>
        <w:trPr>
          <w:cantSplit w:val="0"/>
          <w:tblHeader w:val="0"/>
        </w:trPr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Estrategia de precio </w:t>
            </w:r>
          </w:p>
        </w:tc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Precios competitivos en el mercado dada la calidad de sus materias primas </w:t>
            </w:r>
          </w:p>
        </w:tc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Precios estándar y competitivos frente a las propuestas internacionales  </w:t>
            </w:r>
          </w:p>
        </w:tc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Precio élite que compite con las ligas de marcado internacional </w:t>
            </w:r>
          </w:p>
        </w:tc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Rango de precios por debajo del promedio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Estrategia de promoción 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Su fundador es un referente de la medicina funcional por lo que la publicidad está fuertemente respaldada por su comunidad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Embajadores de la marca que personifican el ideal de los consumidores, los cuales cuenta con una comunidad de consumidores del nicho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Fundador de la marca como imagen de la empresa,embajadores y marketing de contenidos, una marca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Embajadores y contenido en redes </w:t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8" w:val="single"/>
            </w:tcBorders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b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0"/>
                <w:szCs w:val="20"/>
                <w:rtl w:val="0"/>
              </w:rPr>
              <w:t xml:space="preserve">Estrategia de distribución  </w:t>
            </w:r>
          </w:p>
        </w:tc>
        <w:tc>
          <w:tcPr>
            <w:tcBorders>
              <w:bottom w:color="000000" w:space="0" w:sz="8" w:val="single"/>
            </w:tcBorders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Venta directa a través de canales digitales y presencia en puntos físicos como tiendas fitness multimarca del país </w:t>
            </w:r>
          </w:p>
        </w:tc>
        <w:tc>
          <w:tcPr>
            <w:tcBorders>
              <w:bottom w:color="000000" w:space="0" w:sz="8" w:val="single"/>
            </w:tcBorders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Tiendas propias físicas y online, con presencia en tiendas multimarca de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suplementacion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  </w:t>
            </w:r>
          </w:p>
        </w:tc>
        <w:tc>
          <w:tcPr>
            <w:tcBorders>
              <w:bottom w:color="000000" w:space="0" w:sz="8" w:val="single"/>
            </w:tcBorders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widowControl w:val="0"/>
              <w:spacing w:line="240" w:lineRule="auto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Tiendas propias físicas y online, con presencia en tiendas multimarca de 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suplementacion</w:t>
            </w: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  </w:t>
            </w:r>
          </w:p>
        </w:tc>
        <w:tc>
          <w:tcPr>
            <w:tcBorders>
              <w:bottom w:color="000000" w:space="0" w:sz="8" w:val="single"/>
            </w:tcBorders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Distribución mayorista a tiendas multimarca, tienda online propia</w:t>
            </w:r>
          </w:p>
        </w:tc>
      </w:tr>
    </w:tbl>
    <w:p w:rsidR="00000000" w:rsidDel="00000000" w:rsidP="00000000" w:rsidRDefault="00000000" w:rsidRPr="00000000" w14:paraId="00000048">
      <w:pPr>
        <w:spacing w:line="48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spacing w:line="48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De manera general las ofertas de producto en el mercado son muy similares, atendiendo a necesidades generales y con rangos de precio estándar. La mayor parte de las propuestas de suplementación están enfocadas en deportistas, atendiendo a necesidades de rendimiento, fuerza y energía y con productos para un público más generalizado como la proteína la cual se ha ido incorporando paulatinamente en las rutinas de las personas deportistas y no deportistas. Las propuestas enfocadas en un bienestar más holístico que atiende a necesidades nutricionales y de bienestar interno son más limitadas y por ende con mayor potencial de crecimiento puesto que son factores de los cuales la población está siendo más consciente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“</w:t>
      </w:r>
      <w:r w:rsidDel="00000000" w:rsidR="00000000" w:rsidRPr="00000000">
        <w:rPr>
          <w:rFonts w:ascii="Times New Roman" w:cs="Times New Roman" w:eastAsia="Times New Roman" w:hAnsi="Times New Roman"/>
          <w:i w:val="1"/>
          <w:color w:val="323338"/>
          <w:sz w:val="24"/>
          <w:szCs w:val="24"/>
          <w:rtl w:val="0"/>
        </w:rPr>
        <w:t xml:space="preserve">La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población está cada vez más preocupada por la salud preventiva, y esto trae consigo un incremento exponencial en la demanda de productos que permitan a las personas reforzar su sistema inmunológico, mejorar su digestión y 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aumenten</w:t>
      </w:r>
      <w:r w:rsidDel="00000000" w:rsidR="00000000" w:rsidRPr="00000000">
        <w:rPr>
          <w:rFonts w:ascii="Times New Roman" w:cs="Times New Roman" w:eastAsia="Times New Roman" w:hAnsi="Times New Roman"/>
          <w:i w:val="1"/>
          <w:sz w:val="24"/>
          <w:szCs w:val="24"/>
          <w:rtl w:val="0"/>
        </w:rPr>
        <w:t xml:space="preserve"> sus niveles de energía”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(Vicente, 2024) para el estudio de mercados  “ El mercado de suplementos alimenticios en Colombia 2024” ICEX, adicional a ello,  se identifica un potencial de oportunidad en aquellos suplementos enfocados en las mujeres, principalmente aquellos que atienden las necesidades de etapas como el embarazo y  menopausia ,las cuales se describen como un nicho de mercado altamente prometedor en Colombia según el estudio.</w:t>
      </w:r>
    </w:p>
    <w:p w:rsidR="00000000" w:rsidDel="00000000" w:rsidP="00000000" w:rsidRDefault="00000000" w:rsidRPr="00000000" w14:paraId="0000004A">
      <w:pPr>
        <w:spacing w:line="480" w:lineRule="auto"/>
        <w:jc w:val="both"/>
        <w:rPr>
          <w:rFonts w:ascii="Times New Roman" w:cs="Times New Roman" w:eastAsia="Times New Roman" w:hAnsi="Times New Roman"/>
          <w:i w:val="1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Segmentando la oferta regional en Santander, particularmente en Bucaramanga se encuentran marcas en desarrollo como By Male Ardila con propuestas como GoodFit, una fibra con probióticos  y In You con propuestas como Detox y sales de magnesio que reflejan el potencial de la suplementación enfocada en el bienestar y enfocado en necesidades biológicas particulares.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spacing w:line="48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sectPr>
      <w:headerReference r:id="rId8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Times New Roman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4C">
    <w:pPr>
      <w:jc w:val="center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_419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  <w:tblStylePr w:type="band1Horz">
      <w:tcPr/>
    </w:tblStylePr>
    <w:tblStylePr w:type="band1Vert">
      <w:tcPr/>
    </w:tblStylePr>
    <w:tblStylePr w:type="band2Horz">
      <w:tcPr/>
    </w:tblStylePr>
    <w:tblStylePr w:type="band2Vert">
      <w:tcPr/>
    </w:tblStylePr>
    <w:tblStylePr w:type="firstCol">
      <w:tcPr/>
    </w:tblStylePr>
    <w:tblStylePr w:type="firstRow">
      <w:tcPr/>
    </w:tblStylePr>
    <w:tblStylePr w:type="lastCol">
      <w:tcPr/>
    </w:tblStylePr>
    <w:tblStylePr w:type="lastRow">
      <w:tcPr/>
    </w:tblStylePr>
    <w:tblStylePr w:type="neCell">
      <w:tcPr/>
    </w:tblStylePr>
    <w:tblStylePr w:type="nwCell">
      <w:tcPr/>
    </w:tblStylePr>
    <w:tblStylePr w:type="seCell">
      <w:tcPr/>
    </w:tblStylePr>
    <w:tblStylePr w:type="swCell">
      <w:tcPr/>
    </w:tblStyle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2.png"/><Relationship Id="rId7" Type="http://schemas.openxmlformats.org/officeDocument/2006/relationships/image" Target="media/image1.png"/><Relationship Id="rId8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