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charts/chart1.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Ex3.xml" ContentType="application/vnd.ms-office.chartex+xml"/>
  <Override PartName="/word/charts/style4.xml" ContentType="application/vnd.ms-office.chartstyle+xml"/>
  <Override PartName="/word/charts/colors4.xml" ContentType="application/vnd.ms-office.chartcolorstyle+xml"/>
  <Override PartName="/word/charts/chartEx4.xml" ContentType="application/vnd.ms-office.chartex+xml"/>
  <Override PartName="/word/charts/style5.xml" ContentType="application/vnd.ms-office.chartstyle+xml"/>
  <Override PartName="/word/charts/colors5.xml" ContentType="application/vnd.ms-office.chartcolorstyle+xml"/>
  <Override PartName="/word/charts/chart2.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3.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4.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Ex5.xml" ContentType="application/vnd.ms-office.chartex+xml"/>
  <Override PartName="/word/charts/style9.xml" ContentType="application/vnd.ms-office.chartstyle+xml"/>
  <Override PartName="/word/charts/colors9.xml" ContentType="application/vnd.ms-office.chartcolorstyle+xml"/>
  <Override PartName="/word/charts/chartEx6.xml" ContentType="application/vnd.ms-office.chartex+xml"/>
  <Override PartName="/word/charts/style10.xml" ContentType="application/vnd.ms-office.chartstyle+xml"/>
  <Override PartName="/word/charts/colors10.xml" ContentType="application/vnd.ms-office.chartcolorstyle+xml"/>
  <Override PartName="/word/charts/chart5.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71E3FD" w14:textId="55A42244" w:rsidR="008758B7" w:rsidRPr="00DB754C" w:rsidRDefault="00324459" w:rsidP="00324459">
      <w:pPr>
        <w:spacing w:line="360" w:lineRule="auto"/>
        <w:jc w:val="center"/>
        <w:rPr>
          <w:rFonts w:ascii="Times New Roman" w:hAnsi="Times New Roman" w:cs="Times New Roman"/>
          <w:b/>
          <w:color w:val="000000"/>
          <w:lang w:val="es-ES"/>
        </w:rPr>
      </w:pPr>
      <w:r w:rsidRPr="00DB754C">
        <w:rPr>
          <w:rFonts w:ascii="Times New Roman" w:hAnsi="Times New Roman" w:cs="Times New Roman"/>
          <w:b/>
          <w:color w:val="000000"/>
          <w:lang w:val="es-ES"/>
        </w:rPr>
        <w:t>Análisis de la relevancia de las áreas de conocimiento de la ingeniería industrial en el mercado laboral. Una aproximación a partir de información de bases de datos ocupacionales y ofertas laborales</w:t>
      </w:r>
    </w:p>
    <w:p w14:paraId="52444C6E" w14:textId="77777777" w:rsidR="005D10AE" w:rsidRPr="00DB754C" w:rsidRDefault="005D10AE" w:rsidP="00324459">
      <w:pPr>
        <w:spacing w:line="360" w:lineRule="auto"/>
        <w:jc w:val="center"/>
        <w:rPr>
          <w:rFonts w:ascii="Times New Roman" w:hAnsi="Times New Roman" w:cs="Times New Roman"/>
          <w:b/>
          <w:color w:val="000000"/>
          <w:lang w:val="es-ES"/>
        </w:rPr>
      </w:pPr>
    </w:p>
    <w:p w14:paraId="21350AE7" w14:textId="228C52E2" w:rsidR="005D10AE" w:rsidRPr="00DB754C" w:rsidRDefault="00324459" w:rsidP="00324459">
      <w:pPr>
        <w:spacing w:line="360" w:lineRule="auto"/>
        <w:jc w:val="center"/>
        <w:rPr>
          <w:rFonts w:ascii="Times New Roman" w:hAnsi="Times New Roman" w:cs="Times New Roman"/>
          <w:b/>
          <w:color w:val="000000"/>
          <w:lang w:val="en-US"/>
        </w:rPr>
      </w:pPr>
      <w:r w:rsidRPr="00DB754C">
        <w:rPr>
          <w:rFonts w:ascii="Times New Roman" w:hAnsi="Times New Roman" w:cs="Times New Roman"/>
          <w:b/>
          <w:color w:val="000000"/>
          <w:lang w:val="en-US"/>
        </w:rPr>
        <w:t>Analysis of the relevance of industrial engineering knowledge areas in the labor market. An approach based on information from occupational databases and job offers</w:t>
      </w:r>
    </w:p>
    <w:p w14:paraId="0AF00BD3" w14:textId="77777777" w:rsidR="005D10AE" w:rsidRPr="00DB754C" w:rsidRDefault="005D10AE" w:rsidP="00324459">
      <w:pPr>
        <w:spacing w:line="360" w:lineRule="auto"/>
        <w:jc w:val="center"/>
        <w:rPr>
          <w:rFonts w:ascii="Times New Roman" w:hAnsi="Times New Roman" w:cs="Times New Roman"/>
          <w:b/>
          <w:color w:val="000000"/>
          <w:lang w:val="en-US"/>
        </w:rPr>
      </w:pPr>
    </w:p>
    <w:p w14:paraId="36025134" w14:textId="20C38C2D" w:rsidR="005D10AE" w:rsidRPr="00DB754C" w:rsidRDefault="002D4BF7" w:rsidP="00324459">
      <w:pPr>
        <w:spacing w:line="360" w:lineRule="auto"/>
        <w:jc w:val="center"/>
        <w:rPr>
          <w:rFonts w:ascii="Times New Roman" w:hAnsi="Times New Roman" w:cs="Times New Roman"/>
          <w:b/>
          <w:color w:val="000000"/>
          <w:lang w:val="pt-BR"/>
        </w:rPr>
      </w:pPr>
      <w:r w:rsidRPr="00DB754C">
        <w:rPr>
          <w:rFonts w:ascii="Times New Roman" w:hAnsi="Times New Roman" w:cs="Times New Roman"/>
          <w:b/>
          <w:color w:val="000000"/>
          <w:lang w:val="pt-BR"/>
        </w:rPr>
        <w:t xml:space="preserve">Análise da relevância das áreas de conhecimento da engenharia industrial no mercado de trabalho. Uma abordagem baseada em informações de bancos de dados ocupacionais e ofertas de emprego </w:t>
      </w:r>
    </w:p>
    <w:p w14:paraId="11F21089" w14:textId="77777777" w:rsidR="005D10AE" w:rsidRPr="008758B7" w:rsidRDefault="005D10AE" w:rsidP="00324459">
      <w:pPr>
        <w:spacing w:line="360" w:lineRule="auto"/>
        <w:rPr>
          <w:rFonts w:ascii="Times New Roman" w:hAnsi="Times New Roman" w:cs="Times New Roman"/>
          <w:color w:val="000000"/>
          <w:lang w:val="pt-BR"/>
        </w:rPr>
      </w:pPr>
    </w:p>
    <w:p w14:paraId="42BEA678" w14:textId="77777777" w:rsidR="005D10AE" w:rsidRPr="008758B7" w:rsidRDefault="005D10AE" w:rsidP="00324459">
      <w:pPr>
        <w:spacing w:line="360" w:lineRule="auto"/>
        <w:jc w:val="center"/>
        <w:rPr>
          <w:rFonts w:ascii="Times New Roman" w:hAnsi="Times New Roman" w:cs="Times New Roman"/>
          <w:color w:val="000000"/>
          <w:lang w:val="pt-BR"/>
        </w:rPr>
      </w:pPr>
    </w:p>
    <w:p w14:paraId="270514C0" w14:textId="77777777" w:rsidR="005D10AE" w:rsidRPr="00DB754C" w:rsidRDefault="005D10AE" w:rsidP="00324459">
      <w:pPr>
        <w:spacing w:line="360" w:lineRule="auto"/>
        <w:jc w:val="center"/>
        <w:rPr>
          <w:rFonts w:ascii="Times New Roman" w:hAnsi="Times New Roman" w:cs="Times New Roman"/>
          <w:b/>
          <w:color w:val="000000"/>
          <w:lang w:val="es-ES"/>
        </w:rPr>
      </w:pPr>
      <w:r w:rsidRPr="00DB754C">
        <w:rPr>
          <w:rFonts w:ascii="Times New Roman" w:hAnsi="Times New Roman" w:cs="Times New Roman"/>
          <w:b/>
          <w:color w:val="000000"/>
          <w:lang w:val="es-ES"/>
        </w:rPr>
        <w:t>Resumen</w:t>
      </w:r>
    </w:p>
    <w:p w14:paraId="08F9C459" w14:textId="77777777" w:rsidR="005D10AE" w:rsidRPr="00DB754C" w:rsidRDefault="005D10AE" w:rsidP="00324459">
      <w:pPr>
        <w:spacing w:line="360" w:lineRule="auto"/>
        <w:jc w:val="center"/>
        <w:rPr>
          <w:rFonts w:ascii="Times New Roman" w:hAnsi="Times New Roman" w:cs="Times New Roman"/>
          <w:color w:val="000000"/>
          <w:lang w:val="es-ES"/>
        </w:rPr>
      </w:pPr>
    </w:p>
    <w:p w14:paraId="4992C667" w14:textId="24B70F80" w:rsidR="001B4BC4" w:rsidRPr="00DB754C" w:rsidRDefault="001B4BC4" w:rsidP="001B4BC4">
      <w:pPr>
        <w:spacing w:line="360" w:lineRule="auto"/>
        <w:rPr>
          <w:rFonts w:ascii="Times New Roman" w:hAnsi="Times New Roman" w:cs="Times New Roman"/>
          <w:color w:val="000000"/>
          <w:lang w:val="es-ES"/>
        </w:rPr>
      </w:pPr>
      <w:r w:rsidRPr="00DB754C">
        <w:rPr>
          <w:rFonts w:ascii="Times New Roman" w:hAnsi="Times New Roman" w:cs="Times New Roman"/>
          <w:color w:val="000000"/>
          <w:lang w:val="es-ES"/>
        </w:rPr>
        <w:t>El objetivo principal de este proyecto es analizar la relevancia de las áreas de conocimiento de la ingeniería industrial en el mercado laboral, a partir de información de bases de datos ocupacionales y ofertas laborales, con el fin de generar un recurso útil para contrastarlo con el plan de estudios del programa de ingeniería industrial de la Universidad Industrial de Santander. La metodología empleada consiste en clasificar las asignaturas del plan de estudios, las ocupaciones, funciones y vacantes laborales dentro de 22 áreas de conocimiento de la ingeniería industrial, para luego establecer la relevancia de cada una de ellas mediante diagramas de Pareto y finalmente comparar y analizar los resultados.</w:t>
      </w:r>
    </w:p>
    <w:p w14:paraId="1DDA7067" w14:textId="77777777" w:rsidR="000E3BD4" w:rsidRPr="00DB754C" w:rsidRDefault="000E3BD4" w:rsidP="001B4BC4">
      <w:pPr>
        <w:spacing w:line="360" w:lineRule="auto"/>
        <w:rPr>
          <w:rFonts w:ascii="Times New Roman" w:hAnsi="Times New Roman" w:cs="Times New Roman"/>
          <w:color w:val="000000"/>
          <w:lang w:val="es-ES"/>
        </w:rPr>
      </w:pPr>
    </w:p>
    <w:p w14:paraId="70EE3F74" w14:textId="3A59D8F3" w:rsidR="005D10AE" w:rsidRPr="00DB754C" w:rsidRDefault="001B4BC4" w:rsidP="001B4BC4">
      <w:pPr>
        <w:spacing w:line="360" w:lineRule="auto"/>
        <w:rPr>
          <w:rFonts w:ascii="Times New Roman" w:hAnsi="Times New Roman" w:cs="Times New Roman"/>
          <w:color w:val="000000"/>
          <w:lang w:val="es-ES"/>
        </w:rPr>
      </w:pPr>
      <w:r w:rsidRPr="00DB754C">
        <w:rPr>
          <w:rFonts w:ascii="Times New Roman" w:hAnsi="Times New Roman" w:cs="Times New Roman"/>
          <w:color w:val="000000"/>
          <w:lang w:val="es-ES"/>
        </w:rPr>
        <w:t xml:space="preserve">Se encontró que Colombia le da más relevancia a un área operacional como la Ingeniería y gestión de operaciones, seguida por un área comercial como Enfoque al cliente, mientras que USA se enfoca en un área financiera como Análisis económico de ingeniería seguida de un área operacional como la Ingeniería y gestión de operaciones. Adicionalmente, se identificó que de manera general las cinco áreas más relevantes del presente estudio son Ingeniería y gestión de operaciones, Enfoque al cliente, Análisis económico de ingeniería, Gestión de recursos humanos y Gestión Estratégica. Finalmente, se halló que las dos áreas </w:t>
      </w:r>
      <w:r w:rsidRPr="00DB754C">
        <w:rPr>
          <w:rFonts w:ascii="Times New Roman" w:hAnsi="Times New Roman" w:cs="Times New Roman"/>
          <w:color w:val="000000"/>
          <w:lang w:val="es-ES"/>
        </w:rPr>
        <w:lastRenderedPageBreak/>
        <w:t xml:space="preserve">de conocimiento con más asignaturas no coinciden con las áreas identificadas como las más relevantes en el presente estudio. </w:t>
      </w:r>
    </w:p>
    <w:p w14:paraId="7F053D06" w14:textId="77777777" w:rsidR="005D10AE" w:rsidRPr="00DB754C" w:rsidRDefault="005D10AE" w:rsidP="00324459">
      <w:pPr>
        <w:spacing w:line="360" w:lineRule="auto"/>
        <w:jc w:val="center"/>
        <w:rPr>
          <w:rFonts w:ascii="Times New Roman" w:hAnsi="Times New Roman" w:cs="Times New Roman"/>
          <w:color w:val="000000"/>
          <w:lang w:val="es-ES"/>
        </w:rPr>
      </w:pPr>
    </w:p>
    <w:p w14:paraId="07030100" w14:textId="02FD02CC" w:rsidR="005D10AE" w:rsidRPr="00DB754C" w:rsidRDefault="005D10AE" w:rsidP="00324459">
      <w:pPr>
        <w:spacing w:line="360" w:lineRule="auto"/>
        <w:jc w:val="center"/>
        <w:rPr>
          <w:rFonts w:ascii="Times New Roman" w:eastAsia="Palatino Linotype" w:hAnsi="Times New Roman" w:cs="Times New Roman"/>
          <w:color w:val="000000"/>
          <w:position w:val="1"/>
          <w:lang w:val="es-ES"/>
        </w:rPr>
      </w:pPr>
      <w:r w:rsidRPr="00DB754C">
        <w:rPr>
          <w:rFonts w:ascii="Times New Roman" w:hAnsi="Times New Roman" w:cs="Times New Roman"/>
          <w:color w:val="000000"/>
          <w:lang w:val="es-ES"/>
        </w:rPr>
        <w:t xml:space="preserve">Palabras clave: </w:t>
      </w:r>
      <w:r w:rsidR="001B4BC4" w:rsidRPr="00DB754C">
        <w:rPr>
          <w:rFonts w:ascii="Times New Roman" w:eastAsia="Palatino Linotype" w:hAnsi="Times New Roman" w:cs="Times New Roman"/>
          <w:color w:val="000000"/>
          <w:position w:val="1"/>
          <w:lang w:val="es-ES"/>
        </w:rPr>
        <w:t>Relevancia, áreas de conocimiento, ingeniería industrial, mercado laboral.</w:t>
      </w:r>
    </w:p>
    <w:p w14:paraId="194A0D2E" w14:textId="77777777" w:rsidR="005D10AE" w:rsidRPr="00DB754C" w:rsidRDefault="005D10AE" w:rsidP="00324459">
      <w:pPr>
        <w:spacing w:line="360" w:lineRule="auto"/>
        <w:rPr>
          <w:rFonts w:ascii="Times New Roman" w:hAnsi="Times New Roman" w:cs="Times New Roman"/>
          <w:color w:val="000000"/>
          <w:lang w:val="es-ES"/>
        </w:rPr>
      </w:pPr>
    </w:p>
    <w:p w14:paraId="18115B7A" w14:textId="77777777" w:rsidR="005D10AE" w:rsidRPr="00DB754C" w:rsidRDefault="005D10AE" w:rsidP="00324459">
      <w:pPr>
        <w:spacing w:line="360" w:lineRule="auto"/>
        <w:jc w:val="center"/>
        <w:rPr>
          <w:rFonts w:ascii="Times New Roman" w:hAnsi="Times New Roman" w:cs="Times New Roman"/>
          <w:b/>
          <w:color w:val="000000"/>
          <w:lang w:val="en"/>
        </w:rPr>
      </w:pPr>
      <w:r w:rsidRPr="00DB754C">
        <w:rPr>
          <w:rFonts w:ascii="Times New Roman" w:hAnsi="Times New Roman" w:cs="Times New Roman"/>
          <w:b/>
          <w:color w:val="000000"/>
          <w:lang w:val="en"/>
        </w:rPr>
        <w:t>Abstract</w:t>
      </w:r>
    </w:p>
    <w:p w14:paraId="2B07D411" w14:textId="77777777" w:rsidR="005D10AE" w:rsidRPr="00DB754C" w:rsidRDefault="005D10AE" w:rsidP="00324459">
      <w:pPr>
        <w:spacing w:line="360" w:lineRule="auto"/>
        <w:rPr>
          <w:rFonts w:ascii="Times New Roman" w:hAnsi="Times New Roman" w:cs="Times New Roman"/>
          <w:color w:val="000000"/>
          <w:lang w:val="en"/>
        </w:rPr>
      </w:pPr>
    </w:p>
    <w:p w14:paraId="66A786EB" w14:textId="6016DD28" w:rsidR="001B4BC4" w:rsidRPr="00DB754C" w:rsidRDefault="001B4BC4" w:rsidP="001B4BC4">
      <w:pPr>
        <w:spacing w:line="360" w:lineRule="auto"/>
        <w:rPr>
          <w:rFonts w:ascii="Times New Roman" w:hAnsi="Times New Roman" w:cs="Times New Roman"/>
          <w:color w:val="000000"/>
          <w:lang w:val="en-US"/>
        </w:rPr>
      </w:pPr>
      <w:r w:rsidRPr="00DB754C">
        <w:rPr>
          <w:rFonts w:ascii="Times New Roman" w:hAnsi="Times New Roman" w:cs="Times New Roman"/>
          <w:color w:val="000000"/>
          <w:lang w:val="en-US"/>
        </w:rPr>
        <w:t>The main objective of this project is to analyze the relevance of industrial engineering knowledge areas in the labor market, based on information from occupational databases and job offers, in order to generate a useful resource to contrast it with industrial engineering program curriculum at Industrial University of Santander. The methodology used consists of classifying the subjects of curriculum, occupations, functions and job vacancies within 22 areas of knowledge of industrial engineering, to then establish the relevance of each one of them by means Pareto charts, finally compare and analyze the results.</w:t>
      </w:r>
    </w:p>
    <w:p w14:paraId="682F3B25" w14:textId="77777777" w:rsidR="000E3BD4" w:rsidRPr="00DB754C" w:rsidRDefault="000E3BD4" w:rsidP="001B4BC4">
      <w:pPr>
        <w:spacing w:line="360" w:lineRule="auto"/>
        <w:rPr>
          <w:rFonts w:ascii="Times New Roman" w:hAnsi="Times New Roman" w:cs="Times New Roman"/>
          <w:color w:val="000000"/>
          <w:lang w:val="en-US"/>
        </w:rPr>
      </w:pPr>
    </w:p>
    <w:p w14:paraId="665F4E24" w14:textId="708B5DDD" w:rsidR="005D10AE" w:rsidRPr="00DB754C" w:rsidRDefault="001B4BC4" w:rsidP="001B4BC4">
      <w:pPr>
        <w:spacing w:line="360" w:lineRule="auto"/>
        <w:rPr>
          <w:rFonts w:ascii="Times New Roman" w:hAnsi="Times New Roman" w:cs="Times New Roman"/>
          <w:color w:val="000000"/>
          <w:lang w:val="en-US"/>
        </w:rPr>
      </w:pPr>
      <w:r w:rsidRPr="00DB754C">
        <w:rPr>
          <w:rFonts w:ascii="Times New Roman" w:hAnsi="Times New Roman" w:cs="Times New Roman"/>
          <w:color w:val="000000"/>
          <w:lang w:val="en-US"/>
        </w:rPr>
        <w:t>It was found that Colombia gives more relevance to an operational area such as Operations Engineering &amp; Management, followed by a commercial area such as Customer Focus, while the USA focuses on a financial area such as Engineering Economic Analysis followed by an operational area such as Operations Engineering &amp; Management. In general terms, the five most relevant areas in this study are Operations Engineering &amp; Management, Customer Focus, Engineering Economic Analysis, Human Resources Management and Strategic Management. Finally, it was found that the two knowledge areas with the most subjects don’t coincide with areas identified as the most relevant in this study</w:t>
      </w:r>
      <w:r w:rsidR="005D10AE" w:rsidRPr="00DB754C">
        <w:rPr>
          <w:rFonts w:ascii="Times New Roman" w:hAnsi="Times New Roman" w:cs="Times New Roman"/>
          <w:color w:val="000000"/>
          <w:lang w:val="en-US"/>
        </w:rPr>
        <w:t>.</w:t>
      </w:r>
    </w:p>
    <w:p w14:paraId="71459D3B" w14:textId="77777777" w:rsidR="005C4AD1" w:rsidRPr="00DB754C" w:rsidRDefault="005C4AD1" w:rsidP="00324459">
      <w:pPr>
        <w:spacing w:line="360" w:lineRule="auto"/>
        <w:rPr>
          <w:rFonts w:ascii="Times New Roman" w:hAnsi="Times New Roman" w:cs="Times New Roman"/>
          <w:color w:val="000000"/>
          <w:lang w:val="en-US"/>
        </w:rPr>
      </w:pPr>
    </w:p>
    <w:p w14:paraId="16ADDEB1" w14:textId="2D4DD282" w:rsidR="005C4AD1" w:rsidRPr="00DB754C" w:rsidRDefault="005C4AD1" w:rsidP="00324459">
      <w:pPr>
        <w:spacing w:line="360" w:lineRule="auto"/>
        <w:rPr>
          <w:rFonts w:ascii="Times New Roman" w:hAnsi="Times New Roman" w:cs="Times New Roman"/>
          <w:color w:val="000000"/>
          <w:lang w:val="en-US"/>
        </w:rPr>
      </w:pPr>
      <w:r w:rsidRPr="00DB754C">
        <w:rPr>
          <w:rFonts w:ascii="Times New Roman" w:hAnsi="Times New Roman" w:cs="Times New Roman"/>
          <w:color w:val="000000"/>
          <w:lang w:val="en-US"/>
        </w:rPr>
        <w:t xml:space="preserve">Keywords: </w:t>
      </w:r>
      <w:r w:rsidR="001B4BC4" w:rsidRPr="00DB754C">
        <w:rPr>
          <w:rFonts w:ascii="Times New Roman" w:hAnsi="Times New Roman" w:cs="Times New Roman"/>
          <w:color w:val="000000"/>
          <w:lang w:val="en-US"/>
        </w:rPr>
        <w:t>Relevance, knowledge areas, industrial engineering, labor market.</w:t>
      </w:r>
    </w:p>
    <w:p w14:paraId="2744E253" w14:textId="76FCDEB1" w:rsidR="005D10AE" w:rsidRPr="00DB754C" w:rsidRDefault="005D10AE" w:rsidP="00324459">
      <w:pPr>
        <w:spacing w:line="360" w:lineRule="auto"/>
        <w:rPr>
          <w:rFonts w:ascii="Times New Roman" w:hAnsi="Times New Roman" w:cs="Times New Roman"/>
          <w:color w:val="000000"/>
          <w:lang w:val="en-US"/>
        </w:rPr>
      </w:pPr>
    </w:p>
    <w:p w14:paraId="5DF82DDA" w14:textId="1503E049" w:rsidR="000E3BD4" w:rsidRPr="00DB754C" w:rsidRDefault="000E3BD4" w:rsidP="00324459">
      <w:pPr>
        <w:spacing w:line="360" w:lineRule="auto"/>
        <w:rPr>
          <w:rFonts w:ascii="Times New Roman" w:hAnsi="Times New Roman" w:cs="Times New Roman"/>
          <w:color w:val="000000"/>
          <w:lang w:val="en-US"/>
        </w:rPr>
      </w:pPr>
    </w:p>
    <w:p w14:paraId="50C00D10" w14:textId="72C1EFA8" w:rsidR="000E3BD4" w:rsidRPr="00DB754C" w:rsidRDefault="000E3BD4" w:rsidP="00324459">
      <w:pPr>
        <w:spacing w:line="360" w:lineRule="auto"/>
        <w:rPr>
          <w:rFonts w:ascii="Times New Roman" w:hAnsi="Times New Roman" w:cs="Times New Roman"/>
          <w:color w:val="000000"/>
          <w:lang w:val="en-US"/>
        </w:rPr>
      </w:pPr>
    </w:p>
    <w:p w14:paraId="1513FFDD" w14:textId="77777777" w:rsidR="000E3BD4" w:rsidRPr="00DB754C" w:rsidRDefault="000E3BD4" w:rsidP="00324459">
      <w:pPr>
        <w:spacing w:line="360" w:lineRule="auto"/>
        <w:rPr>
          <w:rFonts w:ascii="Times New Roman" w:hAnsi="Times New Roman" w:cs="Times New Roman"/>
          <w:color w:val="000000"/>
          <w:lang w:val="en-US"/>
        </w:rPr>
      </w:pPr>
    </w:p>
    <w:p w14:paraId="18AB6292" w14:textId="77777777" w:rsidR="005D10AE" w:rsidRPr="008758B7" w:rsidRDefault="005D10AE" w:rsidP="00324459">
      <w:pPr>
        <w:spacing w:line="360" w:lineRule="auto"/>
        <w:jc w:val="center"/>
        <w:rPr>
          <w:rFonts w:ascii="Times New Roman" w:hAnsi="Times New Roman" w:cs="Times New Roman"/>
          <w:b/>
          <w:color w:val="000000"/>
          <w:lang w:val="pt-BR"/>
        </w:rPr>
      </w:pPr>
      <w:r w:rsidRPr="008758B7">
        <w:rPr>
          <w:rFonts w:ascii="Times New Roman" w:hAnsi="Times New Roman" w:cs="Times New Roman"/>
          <w:b/>
          <w:color w:val="000000"/>
          <w:lang w:val="pt-BR"/>
        </w:rPr>
        <w:lastRenderedPageBreak/>
        <w:t>Resumo</w:t>
      </w:r>
    </w:p>
    <w:p w14:paraId="01F13B68" w14:textId="77777777" w:rsidR="005C4AD1" w:rsidRPr="008758B7" w:rsidRDefault="005C4AD1" w:rsidP="00324459">
      <w:pPr>
        <w:spacing w:line="360" w:lineRule="auto"/>
        <w:rPr>
          <w:rFonts w:ascii="Times New Roman" w:hAnsi="Times New Roman" w:cs="Times New Roman"/>
          <w:color w:val="000000"/>
          <w:lang w:val="pt-BR"/>
        </w:rPr>
      </w:pPr>
    </w:p>
    <w:p w14:paraId="1E80B962" w14:textId="3B4B7044" w:rsidR="005C4AD1" w:rsidRPr="00DB754C" w:rsidRDefault="002D4BF7" w:rsidP="00324459">
      <w:pPr>
        <w:spacing w:line="360" w:lineRule="auto"/>
        <w:rPr>
          <w:rFonts w:ascii="Times New Roman" w:hAnsi="Times New Roman" w:cs="Times New Roman"/>
          <w:color w:val="000000"/>
          <w:lang w:val="pt-BR"/>
        </w:rPr>
      </w:pPr>
      <w:r w:rsidRPr="00DB754C">
        <w:rPr>
          <w:rFonts w:ascii="Times New Roman" w:hAnsi="Times New Roman" w:cs="Times New Roman"/>
          <w:color w:val="000000"/>
          <w:lang w:val="pt-BR"/>
        </w:rPr>
        <w:t>O objetivo principal deste projeto é analisar a relevância das áreas de conhecimento da engenharia industrial no mercado de trabalho, com base em informações de bancos de dados ocupacionais e ofertas de emprego, a fim de gerar um recurso útil para contrastá-lo com o plano de estudos do programa de engenharia industrial da Universidade Industrial de Santander. A metodologia utilizada consiste em classificar os assuntos do plano de estudos, as ocupações, funções e vagas dentro de 22 áreas de conhecimento da engenharia industrial, para então estabelecer a relevância de cada uma delas através de diagramas de Pareto e por fim comparar e analisar os resultados.</w:t>
      </w:r>
    </w:p>
    <w:p w14:paraId="581EB645" w14:textId="77777777" w:rsidR="000E3BD4" w:rsidRPr="00DB754C" w:rsidRDefault="000E3BD4" w:rsidP="00324459">
      <w:pPr>
        <w:spacing w:line="360" w:lineRule="auto"/>
        <w:rPr>
          <w:rFonts w:ascii="Times New Roman" w:hAnsi="Times New Roman" w:cs="Times New Roman"/>
          <w:color w:val="000000"/>
          <w:lang w:val="pt-BR"/>
        </w:rPr>
      </w:pPr>
    </w:p>
    <w:p w14:paraId="6F4EE549" w14:textId="7ADA01E7" w:rsidR="002D4BF7" w:rsidRPr="00DB754C" w:rsidRDefault="002D4BF7" w:rsidP="00324459">
      <w:pPr>
        <w:spacing w:line="360" w:lineRule="auto"/>
        <w:rPr>
          <w:rFonts w:ascii="Times New Roman" w:hAnsi="Times New Roman" w:cs="Times New Roman"/>
          <w:color w:val="000000"/>
          <w:lang w:val="pt-BR"/>
        </w:rPr>
      </w:pPr>
      <w:r w:rsidRPr="00DB754C">
        <w:rPr>
          <w:rFonts w:ascii="Times New Roman" w:hAnsi="Times New Roman" w:cs="Times New Roman"/>
          <w:color w:val="000000"/>
          <w:lang w:val="pt-BR"/>
        </w:rPr>
        <w:t>Constatou-se que a Colômbia dá mais relevância a uma área operacional como Engenharia e gestão de operações, seguida por uma área comercial como Foco no Cliente, enquanto os EUA focam em uma área financeira como Análise Econômica de Engenharia seguida por uma área operacional como Engenharia e gestão de operações. Adicionalmente, identificou-se que em geral as cinco áreas mais relevantes deste estudo são Engenharia e Gestão de Operações, Foco no Cliente, Análise Econômica de Engenharia, Gestão de Recursos Humanos e Gestão Estratégica. Por fim, verificou-se que as duas áreas do conhecimento com maior número de disciplinas não coincidem com as áreas identificadas como as mais relevantes neste estudo.</w:t>
      </w:r>
    </w:p>
    <w:p w14:paraId="4B54ABB6" w14:textId="77777777" w:rsidR="005C4AD1" w:rsidRPr="008758B7" w:rsidRDefault="005C4AD1" w:rsidP="00324459">
      <w:pPr>
        <w:spacing w:line="360" w:lineRule="auto"/>
        <w:rPr>
          <w:rFonts w:ascii="Times New Roman" w:hAnsi="Times New Roman" w:cs="Times New Roman"/>
          <w:color w:val="000000"/>
          <w:lang w:val="pt-BR"/>
        </w:rPr>
      </w:pPr>
    </w:p>
    <w:p w14:paraId="0A4C3E10" w14:textId="3BACD475" w:rsidR="005C4AD1" w:rsidRPr="008758B7" w:rsidRDefault="005C4AD1" w:rsidP="00324459">
      <w:pPr>
        <w:spacing w:line="360" w:lineRule="auto"/>
        <w:rPr>
          <w:rFonts w:ascii="Times New Roman" w:hAnsi="Times New Roman" w:cs="Times New Roman"/>
          <w:color w:val="000000"/>
          <w:lang w:val="pt-BR"/>
        </w:rPr>
      </w:pPr>
      <w:r w:rsidRPr="008758B7">
        <w:rPr>
          <w:rFonts w:ascii="Times New Roman" w:hAnsi="Times New Roman" w:cs="Times New Roman"/>
          <w:color w:val="000000"/>
          <w:lang w:val="pt-BR"/>
        </w:rPr>
        <w:t xml:space="preserve">Palavras chave: </w:t>
      </w:r>
      <w:r w:rsidR="002D4BF7" w:rsidRPr="008758B7">
        <w:rPr>
          <w:rFonts w:ascii="Times New Roman" w:hAnsi="Times New Roman" w:cs="Times New Roman"/>
          <w:color w:val="000000"/>
          <w:lang w:val="pt-BR"/>
        </w:rPr>
        <w:t>Relevância, áreas de conhecimento, engenharia industrial, mercado de trabalho.</w:t>
      </w:r>
    </w:p>
    <w:p w14:paraId="29F5903B" w14:textId="77777777" w:rsidR="005C4AD1" w:rsidRPr="008758B7" w:rsidRDefault="005C4AD1" w:rsidP="00324459">
      <w:pPr>
        <w:spacing w:line="360" w:lineRule="auto"/>
        <w:rPr>
          <w:rFonts w:ascii="Times New Roman" w:hAnsi="Times New Roman" w:cs="Times New Roman"/>
          <w:color w:val="000000"/>
          <w:lang w:val="pt-BR"/>
        </w:rPr>
      </w:pPr>
    </w:p>
    <w:p w14:paraId="4CAAE58C" w14:textId="77777777" w:rsidR="005C4AD1" w:rsidRPr="008758B7" w:rsidRDefault="005C4AD1" w:rsidP="00324459">
      <w:pPr>
        <w:spacing w:line="360" w:lineRule="auto"/>
        <w:rPr>
          <w:rFonts w:ascii="Times New Roman" w:hAnsi="Times New Roman" w:cs="Times New Roman"/>
          <w:color w:val="000000"/>
          <w:lang w:val="pt-BR"/>
        </w:rPr>
      </w:pPr>
    </w:p>
    <w:p w14:paraId="377E2F4A" w14:textId="77777777" w:rsidR="005C4AD1" w:rsidRPr="00DB754C" w:rsidRDefault="005C4AD1" w:rsidP="00324459">
      <w:pPr>
        <w:spacing w:line="360" w:lineRule="auto"/>
        <w:jc w:val="center"/>
        <w:rPr>
          <w:rFonts w:ascii="Times New Roman" w:hAnsi="Times New Roman" w:cs="Times New Roman"/>
          <w:b/>
          <w:color w:val="000000"/>
        </w:rPr>
      </w:pPr>
      <w:r w:rsidRPr="00DB754C">
        <w:rPr>
          <w:rFonts w:ascii="Times New Roman" w:hAnsi="Times New Roman" w:cs="Times New Roman"/>
          <w:b/>
          <w:color w:val="000000"/>
        </w:rPr>
        <w:t>Introducción</w:t>
      </w:r>
    </w:p>
    <w:p w14:paraId="7EE906F1" w14:textId="77777777" w:rsidR="005C4AD1" w:rsidRPr="00DB754C" w:rsidRDefault="005C4AD1" w:rsidP="00324459">
      <w:pPr>
        <w:spacing w:line="360" w:lineRule="auto"/>
        <w:rPr>
          <w:rFonts w:ascii="Times New Roman" w:hAnsi="Times New Roman" w:cs="Times New Roman"/>
          <w:color w:val="000000"/>
        </w:rPr>
      </w:pPr>
    </w:p>
    <w:p w14:paraId="5EC0B53E" w14:textId="540580DE" w:rsidR="00324459" w:rsidRPr="00DB754C" w:rsidRDefault="00324459" w:rsidP="00324459">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La brecha existente entre la academia y la industria ha sido un tema investigado a nivel global por numerosos autores. La importancia de este tipo de estudios radica en que las universidades cumplen un papel estratégico en el desarrollo económico del país y que, por lo tanto, se requieren programas académicos que estén en la capacidad de formar </w:t>
      </w:r>
      <w:r w:rsidRPr="00DB754C">
        <w:rPr>
          <w:rFonts w:ascii="Times New Roman" w:hAnsi="Times New Roman" w:cs="Times New Roman"/>
          <w:color w:val="000000"/>
        </w:rPr>
        <w:lastRenderedPageBreak/>
        <w:t xml:space="preserve">profesionales con los conocimientos, capacidades y habilidades demandadas por una nueva sociedad que se encuentra en proceso de gestación (Misas, 2004, p. 9). Además, crear una relación entre los planes de estudios y las necesidades del mercado laboral es fundamental para gestionar la calidad de la educación (Mercado et al, 2010, p. 21). </w:t>
      </w:r>
    </w:p>
    <w:p w14:paraId="722DA7C7" w14:textId="77777777" w:rsidR="00324459" w:rsidRPr="00DB754C" w:rsidRDefault="00324459" w:rsidP="00324459">
      <w:pPr>
        <w:spacing w:line="360" w:lineRule="auto"/>
        <w:rPr>
          <w:rFonts w:ascii="Times New Roman" w:hAnsi="Times New Roman" w:cs="Times New Roman"/>
          <w:color w:val="000000"/>
        </w:rPr>
      </w:pPr>
    </w:p>
    <w:p w14:paraId="0AFF9088" w14:textId="0C6B3371" w:rsidR="00DD7468" w:rsidRPr="00DB754C" w:rsidRDefault="00DD7468" w:rsidP="00DD7468">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La primera publicación sobre la temática de estudio, que se encontró en la literatura, es la de Rosselot (2003), quien analizó y discutió la necesidad de realizar modificaciones en los currículos, contenidos programáticos y metodologías de aprendizaje para la carrera de medicina, ofrecida por diferentes universidades de Chile. Según el autor, estas modificaciones son requeridas cambios </w:t>
      </w:r>
      <w:r w:rsidR="00175EE4" w:rsidRPr="00DB754C">
        <w:rPr>
          <w:rFonts w:ascii="Times New Roman" w:hAnsi="Times New Roman" w:cs="Times New Roman"/>
          <w:color w:val="000000"/>
        </w:rPr>
        <w:t>generados</w:t>
      </w:r>
      <w:r w:rsidRPr="00DB754C">
        <w:rPr>
          <w:rFonts w:ascii="Times New Roman" w:hAnsi="Times New Roman" w:cs="Times New Roman"/>
          <w:color w:val="000000"/>
        </w:rPr>
        <w:t xml:space="preserve"> en el entorno sociocultural, entre los que se pueden mencionar la incorporación de tecnologías avanzadas, procesos de regulación organizacional o perfeccionamiento de la gestión de calidad, un mayor acceso a la información, nuevas enfermedades, entre otros. </w:t>
      </w:r>
    </w:p>
    <w:p w14:paraId="527E4C8C" w14:textId="77777777" w:rsidR="00175EE4" w:rsidRPr="00DB754C" w:rsidRDefault="00175EE4" w:rsidP="00DD7468">
      <w:pPr>
        <w:spacing w:line="360" w:lineRule="auto"/>
        <w:rPr>
          <w:rFonts w:ascii="Times New Roman" w:hAnsi="Times New Roman" w:cs="Times New Roman"/>
          <w:color w:val="000000"/>
        </w:rPr>
      </w:pPr>
    </w:p>
    <w:p w14:paraId="095862B6" w14:textId="035A3945" w:rsidR="00DD7468" w:rsidRPr="00DB754C" w:rsidRDefault="00175EE4" w:rsidP="00DD7468">
      <w:pPr>
        <w:spacing w:line="360" w:lineRule="auto"/>
        <w:rPr>
          <w:rFonts w:ascii="Times New Roman" w:hAnsi="Times New Roman" w:cs="Times New Roman"/>
          <w:color w:val="000000"/>
        </w:rPr>
      </w:pPr>
      <w:r w:rsidRPr="00DB754C">
        <w:rPr>
          <w:rFonts w:ascii="Times New Roman" w:hAnsi="Times New Roman" w:cs="Times New Roman"/>
          <w:color w:val="000000"/>
        </w:rPr>
        <w:t>L</w:t>
      </w:r>
      <w:r w:rsidR="00DD7468" w:rsidRPr="00DB754C">
        <w:rPr>
          <w:rFonts w:ascii="Times New Roman" w:hAnsi="Times New Roman" w:cs="Times New Roman"/>
          <w:color w:val="000000"/>
        </w:rPr>
        <w:t>a segunda publicación encontrada es la de Ricardo et al. (2005), quienes evaluaron la pertinencia y el impacto social de la carrera de Ingeniería Quí</w:t>
      </w:r>
      <w:r w:rsidR="007F743D" w:rsidRPr="00DB754C">
        <w:rPr>
          <w:rFonts w:ascii="Times New Roman" w:hAnsi="Times New Roman" w:cs="Times New Roman"/>
          <w:color w:val="000000"/>
        </w:rPr>
        <w:t xml:space="preserve">mica de una universidad cubana. </w:t>
      </w:r>
      <w:r w:rsidR="00DD7468" w:rsidRPr="00DB754C">
        <w:rPr>
          <w:rFonts w:ascii="Times New Roman" w:hAnsi="Times New Roman" w:cs="Times New Roman"/>
          <w:color w:val="000000"/>
        </w:rPr>
        <w:t>La información analizada la extrajeron de fuentes como documentos del Vicedecanato de Investigaciones de la Facultad, expedientes y currículos de los profesores y entrevistas a profesores, estudiantes, graduados y empleadores.</w:t>
      </w:r>
    </w:p>
    <w:p w14:paraId="4EE74069" w14:textId="77777777" w:rsidR="008054EB" w:rsidRPr="00DB754C" w:rsidRDefault="008054EB" w:rsidP="00DD7468">
      <w:pPr>
        <w:spacing w:line="360" w:lineRule="auto"/>
        <w:rPr>
          <w:rFonts w:ascii="Times New Roman" w:hAnsi="Times New Roman" w:cs="Times New Roman"/>
          <w:color w:val="000000"/>
        </w:rPr>
      </w:pPr>
    </w:p>
    <w:p w14:paraId="1ECFA787" w14:textId="2564673A" w:rsidR="00DD7468" w:rsidRPr="00DB754C" w:rsidRDefault="00DD7468" w:rsidP="00DD7468">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De igual manera, Bucak et al. (2007), encuestaron a 200 ingenieros químicos, que se graduaron de una universidad turca en los últimos 10 años. </w:t>
      </w:r>
      <w:r w:rsidR="00175EE4" w:rsidRPr="00DB754C">
        <w:rPr>
          <w:rFonts w:ascii="Times New Roman" w:hAnsi="Times New Roman" w:cs="Times New Roman"/>
          <w:color w:val="000000"/>
        </w:rPr>
        <w:t>B</w:t>
      </w:r>
      <w:r w:rsidRPr="00DB754C">
        <w:rPr>
          <w:rFonts w:ascii="Times New Roman" w:hAnsi="Times New Roman" w:cs="Times New Roman"/>
          <w:color w:val="000000"/>
        </w:rPr>
        <w:t xml:space="preserve">uscaron evaluar 35 cursos obligatorios y electivos, establecidos en los planes de estudio y, para esto, los dividieron en 4 categorías diferentes: grupo de física, matemáticas e informática (ciencias), grupo de química, grupo de administración y grupo de ingeniería. </w:t>
      </w:r>
      <w:r w:rsidR="007F743D" w:rsidRPr="00DB754C">
        <w:rPr>
          <w:rFonts w:ascii="Times New Roman" w:hAnsi="Times New Roman" w:cs="Times New Roman"/>
          <w:color w:val="000000"/>
        </w:rPr>
        <w:t>L</w:t>
      </w:r>
      <w:r w:rsidRPr="00DB754C">
        <w:rPr>
          <w:rFonts w:ascii="Times New Roman" w:hAnsi="Times New Roman" w:cs="Times New Roman"/>
          <w:color w:val="000000"/>
        </w:rPr>
        <w:t>ograron concluir que los ingenieros químicos, en su profesión, encuentran más útiles los cursos relacionados con administración, seguidos de los cursos de química, ingeniería y ciencias. Además, identificaron que los egresados carecen de conocimientos sobre temas relacionados con administración, informática,</w:t>
      </w:r>
      <w:r w:rsidR="007F743D" w:rsidRPr="00DB754C">
        <w:rPr>
          <w:rFonts w:ascii="Times New Roman" w:hAnsi="Times New Roman" w:cs="Times New Roman"/>
          <w:color w:val="000000"/>
        </w:rPr>
        <w:t xml:space="preserve"> idiomas extranjeros y química.</w:t>
      </w:r>
    </w:p>
    <w:p w14:paraId="33505E7A" w14:textId="77777777" w:rsidR="00175EE4" w:rsidRPr="00DB754C" w:rsidRDefault="00175EE4" w:rsidP="00DD7468">
      <w:pPr>
        <w:spacing w:line="360" w:lineRule="auto"/>
        <w:rPr>
          <w:rFonts w:ascii="Times New Roman" w:hAnsi="Times New Roman" w:cs="Times New Roman"/>
          <w:color w:val="000000"/>
        </w:rPr>
      </w:pPr>
    </w:p>
    <w:p w14:paraId="1F5A9D7E" w14:textId="48E951B7" w:rsidR="00DD7468" w:rsidRPr="00DB754C" w:rsidRDefault="00DD7468" w:rsidP="00DD7468">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 xml:space="preserve">Tres años más adelante, Mercado et al. (2010) publicaron un libro en el que analizan los resultados de un seguimiento a los graduados de las carreras de ingeniería ofrecidas por la Universidad de la Costa. </w:t>
      </w:r>
      <w:r w:rsidR="00175EE4" w:rsidRPr="00DB754C">
        <w:rPr>
          <w:rFonts w:ascii="Times New Roman" w:hAnsi="Times New Roman" w:cs="Times New Roman"/>
          <w:color w:val="000000"/>
        </w:rPr>
        <w:t>L</w:t>
      </w:r>
      <w:r w:rsidRPr="00DB754C">
        <w:rPr>
          <w:rFonts w:ascii="Times New Roman" w:hAnsi="Times New Roman" w:cs="Times New Roman"/>
          <w:color w:val="000000"/>
        </w:rPr>
        <w:t>os autores afirman que los estudios de seguimiento tienen grandes desventajas, entre las que se destacan, altos costos asociados a los recursos requeridos, además, generan un impacto momentáneo debido a que la información que se recopila es variable y cambia con el tiempo, lo que también la convierte rápidamente en una investigación desactualizada.</w:t>
      </w:r>
    </w:p>
    <w:p w14:paraId="564FDA2B" w14:textId="77777777" w:rsidR="00175EE4" w:rsidRPr="00DB754C" w:rsidRDefault="00175EE4" w:rsidP="00DD7468">
      <w:pPr>
        <w:spacing w:line="360" w:lineRule="auto"/>
        <w:rPr>
          <w:rFonts w:ascii="Times New Roman" w:hAnsi="Times New Roman" w:cs="Times New Roman"/>
          <w:color w:val="000000"/>
        </w:rPr>
      </w:pPr>
    </w:p>
    <w:p w14:paraId="7258AE22" w14:textId="1DE60496" w:rsidR="00DD7468" w:rsidRPr="00DB754C" w:rsidRDefault="00175EE4" w:rsidP="00DD7468">
      <w:pPr>
        <w:spacing w:line="360" w:lineRule="auto"/>
        <w:rPr>
          <w:rFonts w:ascii="Times New Roman" w:hAnsi="Times New Roman" w:cs="Times New Roman"/>
          <w:color w:val="000000"/>
        </w:rPr>
      </w:pPr>
      <w:r w:rsidRPr="00DB754C">
        <w:rPr>
          <w:rFonts w:ascii="Times New Roman" w:hAnsi="Times New Roman" w:cs="Times New Roman"/>
          <w:color w:val="000000"/>
        </w:rPr>
        <w:t>Luego,</w:t>
      </w:r>
      <w:r w:rsidR="00DD7468" w:rsidRPr="00DB754C">
        <w:rPr>
          <w:rFonts w:ascii="Times New Roman" w:hAnsi="Times New Roman" w:cs="Times New Roman"/>
          <w:color w:val="000000"/>
        </w:rPr>
        <w:t xml:space="preserve"> se encontró que Artaza (2011) analizó las ofertas laborales destinadas a los titulados de Biblioteconomía y Documentación de España, entre los años 2000 y 2007. La metodología empleada por el autor consistió en recopilar información de ofertas laborales publicadas en IWETEL (principal foro electrónico sobre bibliotecas y documentación de España) sin tener en cuenta aq</w:t>
      </w:r>
      <w:r w:rsidRPr="00DB754C">
        <w:rPr>
          <w:rFonts w:ascii="Times New Roman" w:hAnsi="Times New Roman" w:cs="Times New Roman"/>
          <w:color w:val="000000"/>
        </w:rPr>
        <w:t>uellas destinadas a estudiantes y</w:t>
      </w:r>
      <w:r w:rsidR="00DD7468" w:rsidRPr="00DB754C">
        <w:rPr>
          <w:rFonts w:ascii="Times New Roman" w:hAnsi="Times New Roman" w:cs="Times New Roman"/>
          <w:color w:val="000000"/>
        </w:rPr>
        <w:t xml:space="preserve"> luego, construyó una base de datos en MS-Acces. Posteriormente, procesó estadísticamente dichos datos y, finalmente, comparó y analizó los requerimientos profesionales demandados por el mercado laboral, teniendo en cuenta puntos como cantidad de empleos ofertados, tipos de organizaciones que realizan ofertas, conocimientos requeridos, ámbito de las organizaciones y modalidades de los contratos ofrecidos.</w:t>
      </w:r>
    </w:p>
    <w:p w14:paraId="1C4AA558" w14:textId="77777777" w:rsidR="008054EB" w:rsidRPr="00DB754C" w:rsidRDefault="008054EB" w:rsidP="00DD7468">
      <w:pPr>
        <w:spacing w:line="360" w:lineRule="auto"/>
        <w:rPr>
          <w:rFonts w:ascii="Times New Roman" w:hAnsi="Times New Roman" w:cs="Times New Roman"/>
          <w:color w:val="000000"/>
        </w:rPr>
      </w:pPr>
    </w:p>
    <w:p w14:paraId="2E4DBE18" w14:textId="1CC9E30E" w:rsidR="00DD7468" w:rsidRPr="00DB754C" w:rsidRDefault="00DD7468" w:rsidP="00DD7468">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Para el año 2012, las publicaciones encontradas se centran en investigar la importancia de algunas competencias no técnicas en el ámbito profesional, utilizando una metodología que consisten en aplicar una encuesta a egresados de ingeniería que ya se encuentran laborando. </w:t>
      </w:r>
      <w:r w:rsidR="008054EB" w:rsidRPr="00DB754C">
        <w:rPr>
          <w:rFonts w:ascii="Times New Roman" w:hAnsi="Times New Roman" w:cs="Times New Roman"/>
          <w:color w:val="000000"/>
        </w:rPr>
        <w:t>Algunos ejemplos son</w:t>
      </w:r>
      <w:r w:rsidRPr="00DB754C">
        <w:rPr>
          <w:rFonts w:ascii="Times New Roman" w:hAnsi="Times New Roman" w:cs="Times New Roman"/>
          <w:color w:val="000000"/>
        </w:rPr>
        <w:t xml:space="preserve"> Passow (2012) </w:t>
      </w:r>
      <w:r w:rsidR="008054EB" w:rsidRPr="00DB754C">
        <w:rPr>
          <w:rFonts w:ascii="Times New Roman" w:hAnsi="Times New Roman" w:cs="Times New Roman"/>
          <w:color w:val="000000"/>
        </w:rPr>
        <w:t xml:space="preserve">y Baytiyeh (2012). </w:t>
      </w:r>
      <w:r w:rsidRPr="00DB754C">
        <w:rPr>
          <w:rFonts w:ascii="Times New Roman" w:hAnsi="Times New Roman" w:cs="Times New Roman"/>
          <w:color w:val="000000"/>
        </w:rPr>
        <w:t xml:space="preserve">En contraste, Salazar y de la Cruz (2012) utilizaron una metodología que consistió en encuestar a los empleadores. Otro estudio que no reporta fecha de publicación y que </w:t>
      </w:r>
      <w:r w:rsidR="007F743D" w:rsidRPr="00DB754C">
        <w:rPr>
          <w:rFonts w:ascii="Times New Roman" w:hAnsi="Times New Roman" w:cs="Times New Roman"/>
          <w:color w:val="000000"/>
        </w:rPr>
        <w:t>utiliza la metodología anterior,</w:t>
      </w:r>
      <w:r w:rsidRPr="00DB754C">
        <w:rPr>
          <w:rFonts w:ascii="Times New Roman" w:hAnsi="Times New Roman" w:cs="Times New Roman"/>
          <w:color w:val="000000"/>
        </w:rPr>
        <w:t xml:space="preserve"> es el de Solis et. Al (s.f) quienes investigaron la demanda </w:t>
      </w:r>
      <w:r w:rsidR="007F743D" w:rsidRPr="00DB754C">
        <w:rPr>
          <w:rFonts w:ascii="Times New Roman" w:hAnsi="Times New Roman" w:cs="Times New Roman"/>
          <w:color w:val="000000"/>
        </w:rPr>
        <w:t xml:space="preserve">de competencias cognitivas, procedimentales y actitudinales </w:t>
      </w:r>
      <w:r w:rsidRPr="00DB754C">
        <w:rPr>
          <w:rFonts w:ascii="Times New Roman" w:hAnsi="Times New Roman" w:cs="Times New Roman"/>
          <w:color w:val="000000"/>
        </w:rPr>
        <w:t xml:space="preserve">del sector maquilador </w:t>
      </w:r>
      <w:r w:rsidR="007F743D" w:rsidRPr="00DB754C">
        <w:rPr>
          <w:rFonts w:ascii="Times New Roman" w:hAnsi="Times New Roman" w:cs="Times New Roman"/>
          <w:color w:val="000000"/>
        </w:rPr>
        <w:t xml:space="preserve">mexicano. </w:t>
      </w:r>
      <w:r w:rsidRPr="00DB754C">
        <w:rPr>
          <w:rFonts w:ascii="Times New Roman" w:hAnsi="Times New Roman" w:cs="Times New Roman"/>
          <w:color w:val="000000"/>
        </w:rPr>
        <w:t xml:space="preserve">Encontraron que, en lo que tiene que ver con las competencias cognitivas, el mercado laboral demandaba “el 70% en producción, 60% en mantenimiento, 60% en ergonomía y antropometría, 55 % en aseguramiento y control de calidad y 65% en manufactura esbelta” (Solis, s.f, p. 228). </w:t>
      </w:r>
    </w:p>
    <w:p w14:paraId="568D1EB3" w14:textId="77777777" w:rsidR="00175EE4" w:rsidRPr="00DB754C" w:rsidRDefault="00175EE4" w:rsidP="00DD7468">
      <w:pPr>
        <w:spacing w:line="360" w:lineRule="auto"/>
        <w:rPr>
          <w:rFonts w:ascii="Times New Roman" w:hAnsi="Times New Roman" w:cs="Times New Roman"/>
          <w:color w:val="000000"/>
        </w:rPr>
      </w:pPr>
    </w:p>
    <w:p w14:paraId="77827D93" w14:textId="14E572C7" w:rsidR="00DD7468" w:rsidRPr="00DB754C" w:rsidRDefault="00DD7468" w:rsidP="00DD7468">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Asimismo, Al-Ghamdi, (2014) examinó la brecha entre lo que se practica y lo que se enseña en el programa de Ingeniería Industrial. Para ello clasificó los cursos del programa en 6 categorías: gestión de ingeniería, economía de la ingeniería, ingeniería de calidad y estadística, investigación de operaciones, diseño, mejora y seguridad del trabajo y aplicaciones informáticas y sistemas de información. Posteriormente entrevistaron a graduados del programa, y aunque como lo mencionan los autores</w:t>
      </w:r>
      <w:r w:rsidR="008054EB" w:rsidRPr="00DB754C">
        <w:rPr>
          <w:rFonts w:ascii="Times New Roman" w:hAnsi="Times New Roman" w:cs="Times New Roman"/>
          <w:color w:val="000000"/>
        </w:rPr>
        <w:t>, tuvieron algunos inconvenientes</w:t>
      </w:r>
      <w:r w:rsidRPr="00DB754C">
        <w:rPr>
          <w:rFonts w:ascii="Times New Roman" w:hAnsi="Times New Roman" w:cs="Times New Roman"/>
          <w:color w:val="000000"/>
        </w:rPr>
        <w:t xml:space="preserve">, se logró concluir que, de acuerdo al uso y éxito en el campo laboral, en primer lugar está economía de la ingeniería, seguida por gestión de ingeniería, aplicaciones informáticas y sistemas de información, diseño, mejora y seguridad del trabajo, ingeniería de calidad y estadística y </w:t>
      </w:r>
      <w:r w:rsidR="008054EB" w:rsidRPr="00DB754C">
        <w:rPr>
          <w:rFonts w:ascii="Times New Roman" w:hAnsi="Times New Roman" w:cs="Times New Roman"/>
          <w:color w:val="000000"/>
        </w:rPr>
        <w:t>finalmente,</w:t>
      </w:r>
      <w:r w:rsidRPr="00DB754C">
        <w:rPr>
          <w:rFonts w:ascii="Times New Roman" w:hAnsi="Times New Roman" w:cs="Times New Roman"/>
          <w:color w:val="000000"/>
        </w:rPr>
        <w:t xml:space="preserve"> investigación de operaciones.</w:t>
      </w:r>
    </w:p>
    <w:p w14:paraId="4170EA86" w14:textId="77777777" w:rsidR="008054EB" w:rsidRPr="00DB754C" w:rsidRDefault="008054EB" w:rsidP="00DD7468">
      <w:pPr>
        <w:spacing w:line="360" w:lineRule="auto"/>
        <w:rPr>
          <w:rFonts w:ascii="Times New Roman" w:hAnsi="Times New Roman" w:cs="Times New Roman"/>
          <w:color w:val="000000"/>
        </w:rPr>
      </w:pPr>
    </w:p>
    <w:p w14:paraId="64186EF4" w14:textId="4D34E441" w:rsidR="00DD7468" w:rsidRPr="00DB754C" w:rsidRDefault="00DD7468" w:rsidP="00DD7468">
      <w:pPr>
        <w:spacing w:line="360" w:lineRule="auto"/>
        <w:rPr>
          <w:rFonts w:ascii="Times New Roman" w:hAnsi="Times New Roman" w:cs="Times New Roman"/>
          <w:color w:val="000000"/>
        </w:rPr>
      </w:pPr>
      <w:r w:rsidRPr="00DB754C">
        <w:rPr>
          <w:rFonts w:ascii="Times New Roman" w:hAnsi="Times New Roman" w:cs="Times New Roman"/>
          <w:color w:val="000000"/>
        </w:rPr>
        <w:t>González y Durán (2014) también investigaron acerca de las competencias específicas solicitadas al recién egresado de ingeniería industrial por el sector servicios en Bogotá e identificaron que las áreas funcionales que más demandaron recién egresados son la administrativa, seguida por la comercial y la de evaluación de proyectos. En contraste, las áreas   con menos demanda son: investigación de mercados, mantenimiento, H.S.E. y mercadeo.</w:t>
      </w:r>
    </w:p>
    <w:p w14:paraId="01256DB4" w14:textId="77777777" w:rsidR="008054EB" w:rsidRPr="00DB754C" w:rsidRDefault="008054EB" w:rsidP="00DD7468">
      <w:pPr>
        <w:spacing w:line="360" w:lineRule="auto"/>
        <w:rPr>
          <w:rFonts w:ascii="Times New Roman" w:hAnsi="Times New Roman" w:cs="Times New Roman"/>
          <w:color w:val="000000"/>
        </w:rPr>
      </w:pPr>
    </w:p>
    <w:p w14:paraId="1C190C0F" w14:textId="54DC7FAD" w:rsidR="00DD7468" w:rsidRPr="00DB754C" w:rsidRDefault="00DD7468" w:rsidP="00DD7468">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Para los años 2015, 2016 y 2017, es común encontrar que los estudios estén enfocados en identificar las habilidades blandas o las competencias genéricas que más demanda el mercado laboral. </w:t>
      </w:r>
      <w:r w:rsidR="008054EB" w:rsidRPr="00DB754C">
        <w:rPr>
          <w:rFonts w:ascii="Times New Roman" w:hAnsi="Times New Roman" w:cs="Times New Roman"/>
          <w:color w:val="000000"/>
        </w:rPr>
        <w:t xml:space="preserve">Algunos ejemplos son Passow y Passow (2017) y </w:t>
      </w:r>
      <w:r w:rsidRPr="00DB754C">
        <w:rPr>
          <w:rFonts w:ascii="Times New Roman" w:hAnsi="Times New Roman" w:cs="Times New Roman"/>
          <w:color w:val="000000"/>
        </w:rPr>
        <w:t>Hamid et al. (2017)</w:t>
      </w:r>
      <w:r w:rsidR="008054EB" w:rsidRPr="00DB754C">
        <w:rPr>
          <w:rFonts w:ascii="Times New Roman" w:hAnsi="Times New Roman" w:cs="Times New Roman"/>
          <w:color w:val="000000"/>
        </w:rPr>
        <w:t xml:space="preserve">. Estos últimos </w:t>
      </w:r>
      <w:r w:rsidRPr="00DB754C">
        <w:rPr>
          <w:rFonts w:ascii="Times New Roman" w:hAnsi="Times New Roman" w:cs="Times New Roman"/>
          <w:color w:val="000000"/>
        </w:rPr>
        <w:t>autores también proponen que las fuentes de información a utilizar en este tipo de estudios sean:</w:t>
      </w:r>
    </w:p>
    <w:p w14:paraId="07F06854" w14:textId="77777777" w:rsidR="00DD7468" w:rsidRPr="00DB754C" w:rsidRDefault="00DD7468" w:rsidP="008054EB">
      <w:pPr>
        <w:spacing w:line="360" w:lineRule="auto"/>
        <w:ind w:left="708"/>
        <w:rPr>
          <w:rFonts w:ascii="Times New Roman" w:hAnsi="Times New Roman" w:cs="Times New Roman"/>
          <w:color w:val="000000"/>
        </w:rPr>
      </w:pPr>
      <w:r w:rsidRPr="00DB754C">
        <w:rPr>
          <w:rFonts w:ascii="Times New Roman" w:hAnsi="Times New Roman" w:cs="Times New Roman"/>
          <w:color w:val="000000"/>
        </w:rPr>
        <w:t>El estudio de factibilidad del programa, encuestas a empresarios, cartas de los empresarios donde especifican la necesidad de practicantes, información gremial, documento maestro, sistemas de información estadísticos de la institución, encuestas de aspirante a ingresar a la educación  superior, informe diagnóstico de causas de deserción, informe de caracterización de la trayectoria laboral de los egresados, planes de desarrollo nacional, local e institucional, clusters, entre otros (Hamid et al., 2017, p. 98).</w:t>
      </w:r>
    </w:p>
    <w:p w14:paraId="64BA9FA9" w14:textId="77777777" w:rsidR="008054EB" w:rsidRPr="00DB754C" w:rsidRDefault="008054EB" w:rsidP="00DD7468">
      <w:pPr>
        <w:spacing w:line="360" w:lineRule="auto"/>
        <w:rPr>
          <w:rFonts w:ascii="Times New Roman" w:hAnsi="Times New Roman" w:cs="Times New Roman"/>
          <w:color w:val="000000"/>
        </w:rPr>
      </w:pPr>
    </w:p>
    <w:p w14:paraId="145CA6EA" w14:textId="643FF72F" w:rsidR="00324459" w:rsidRPr="00DB754C" w:rsidRDefault="00DD7468" w:rsidP="008054EB">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 xml:space="preserve">A partir el año 2018 ya se encuentran estudios encaminados a identificar las competencias que deben tener los profesionales para desempeñarse en fábricas inteligentes de la industria 4.0. </w:t>
      </w:r>
      <w:r w:rsidR="008054EB" w:rsidRPr="00DB754C">
        <w:rPr>
          <w:rFonts w:ascii="Times New Roman" w:hAnsi="Times New Roman" w:cs="Times New Roman"/>
          <w:color w:val="000000"/>
        </w:rPr>
        <w:t>Algunos ejemplos son Horrillo y Triado (2018), Zapata (2020) y Lamos et al. (2020)</w:t>
      </w:r>
    </w:p>
    <w:p w14:paraId="154D8142" w14:textId="76B5D2F1" w:rsidR="00324459" w:rsidRPr="00DB754C" w:rsidRDefault="00324459" w:rsidP="00324459">
      <w:pPr>
        <w:spacing w:line="360" w:lineRule="auto"/>
        <w:rPr>
          <w:rFonts w:ascii="Times New Roman" w:hAnsi="Times New Roman" w:cs="Times New Roman"/>
          <w:color w:val="000000"/>
        </w:rPr>
      </w:pPr>
    </w:p>
    <w:p w14:paraId="12BC1A0C" w14:textId="77777777" w:rsidR="007F743D" w:rsidRPr="00DB754C" w:rsidRDefault="007F743D" w:rsidP="007F743D">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Luego de una revisión de literatura se tiene que, en una lista de 36 países, España con 42 publicaciones es el país con más investigaciones relacionadas con esta temática, seguido por Ecuador con 18 y Estados Unidos con 17. Para Colombia se encontraron tan solo 6 publicaciones, ocupando así el décimo lugar. El objetivo de estas publicaciones ha sido investigar el tipo de organizaciones que requieren profesionales, las características de las ofertas laborales y cuáles son las habilidades o conocimientos solicitados y cómo estos van cambiando con el tiempo. </w:t>
      </w:r>
    </w:p>
    <w:p w14:paraId="13C99FFE" w14:textId="77777777" w:rsidR="007F743D" w:rsidRPr="00DB754C" w:rsidRDefault="007F743D" w:rsidP="007F743D">
      <w:pPr>
        <w:spacing w:line="360" w:lineRule="auto"/>
        <w:rPr>
          <w:rFonts w:ascii="Times New Roman" w:hAnsi="Times New Roman" w:cs="Times New Roman"/>
          <w:color w:val="000000"/>
        </w:rPr>
      </w:pPr>
    </w:p>
    <w:p w14:paraId="07A1330C" w14:textId="5F8F33F8" w:rsidR="007F743D" w:rsidRPr="00DB754C" w:rsidRDefault="007F743D" w:rsidP="007F743D">
      <w:pPr>
        <w:spacing w:line="360" w:lineRule="auto"/>
        <w:rPr>
          <w:rFonts w:ascii="Times New Roman" w:hAnsi="Times New Roman" w:cs="Times New Roman"/>
          <w:color w:val="000000"/>
        </w:rPr>
      </w:pPr>
      <w:r w:rsidRPr="00DB754C">
        <w:rPr>
          <w:rFonts w:ascii="Times New Roman" w:hAnsi="Times New Roman" w:cs="Times New Roman"/>
          <w:color w:val="000000"/>
        </w:rPr>
        <w:t>Por otra parte, la economía ha cambiado radicalmente y, por lo tanto, las empresas han conquistado nuevos mercados, en los que buscan permanencia y nuevas oportunidades, lo que lleva a que las empresas sean más exigentes al momento de contratar, buscando profesionales completos y competentes ante los nuevos desafíos. Consecuentemente, este tipo de investigaciones permiten identificar fortalezas, debilidades y oportunidades, para así poder generar estrategias que permitan que los futuros profesionales logren una mejor adaptación a la sociedad donde se trabaja (Mercado et al, 2010, p. 21-26).</w:t>
      </w:r>
    </w:p>
    <w:p w14:paraId="4E30014A" w14:textId="77777777" w:rsidR="007F743D" w:rsidRPr="00DB754C" w:rsidRDefault="007F743D" w:rsidP="007F743D">
      <w:pPr>
        <w:spacing w:line="360" w:lineRule="auto"/>
        <w:rPr>
          <w:rFonts w:ascii="Times New Roman" w:hAnsi="Times New Roman" w:cs="Times New Roman"/>
          <w:color w:val="000000"/>
        </w:rPr>
      </w:pPr>
    </w:p>
    <w:p w14:paraId="22AE5AFC" w14:textId="77777777" w:rsidR="007F743D" w:rsidRPr="00DB754C" w:rsidRDefault="007F743D" w:rsidP="007F743D">
      <w:pPr>
        <w:spacing w:line="360" w:lineRule="auto"/>
        <w:rPr>
          <w:rFonts w:ascii="Times New Roman" w:hAnsi="Times New Roman" w:cs="Times New Roman"/>
          <w:color w:val="000000"/>
        </w:rPr>
      </w:pPr>
      <w:r w:rsidRPr="00DB754C">
        <w:rPr>
          <w:rFonts w:ascii="Times New Roman" w:hAnsi="Times New Roman" w:cs="Times New Roman"/>
          <w:color w:val="000000"/>
        </w:rPr>
        <w:t>Adicionalmente, analizar la brecha entre la industria y la academia es importante para los empleadores, los profesionales y la academia. Para los empleadores, es útil para contratar profesionales debidamente capacitados, lo que les permite dedicar menos tiempo a capacitarlos mientras los incorpora de manera más eficiente a la fuerza laboral. A los profesionales, les permite conocer el conjunto de habilidades y conocimientos más importantes y así aumentar sus posibilidades de empleabilidad. Para la academia, comprender el conjunto de habilidades y conocimientos necesarios es fundamental para desarrollar procesos de actualización y rediseño de plan de estudios, así como para atender los requerimientos de organismos acreditadores (Akdur, 2021, p. 1).</w:t>
      </w:r>
    </w:p>
    <w:p w14:paraId="15E54CFE" w14:textId="77777777" w:rsidR="007F743D" w:rsidRPr="00DB754C" w:rsidRDefault="007F743D" w:rsidP="007F743D">
      <w:pPr>
        <w:spacing w:line="360" w:lineRule="auto"/>
        <w:rPr>
          <w:rFonts w:ascii="Times New Roman" w:hAnsi="Times New Roman" w:cs="Times New Roman"/>
          <w:color w:val="000000"/>
        </w:rPr>
      </w:pPr>
    </w:p>
    <w:p w14:paraId="4406909C" w14:textId="376DDFBB" w:rsidR="00324459" w:rsidRPr="00DB754C" w:rsidRDefault="00324459" w:rsidP="00946DFA">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Así las cosas, teniendo en cuenta lo mencionado previamente y siguiendo lo planteado por la Declaración Mundial sobre la Educación Superior en el siglo XXI (1998) y el Plan Nacional Decenal de Educación 2016-2026 (2017), este trabajo se desarrolla con el fin de analizar la relevancia de las áreas de conocimiento de la ingeniería industrial en el mercado laboral, a partir de información de bases de datos ocupacionales y ofertas laborales, con el fin de generar un recurso útil para contrastarlo con el plan de estudios del programa de ingeniería industrial de la Universidad Industrial de Santander.</w:t>
      </w:r>
    </w:p>
    <w:p w14:paraId="0D2CCA46" w14:textId="77777777" w:rsidR="002D4BF7" w:rsidRPr="00DB754C" w:rsidRDefault="002D4BF7" w:rsidP="00946DFA">
      <w:pPr>
        <w:spacing w:line="360" w:lineRule="auto"/>
        <w:rPr>
          <w:rFonts w:ascii="Times New Roman" w:hAnsi="Times New Roman" w:cs="Times New Roman"/>
          <w:color w:val="000000"/>
        </w:rPr>
      </w:pPr>
    </w:p>
    <w:p w14:paraId="059B1E48" w14:textId="2420AAD6" w:rsidR="00324459" w:rsidRPr="00DB754C" w:rsidRDefault="00324459" w:rsidP="007F743D">
      <w:pPr>
        <w:spacing w:line="360" w:lineRule="auto"/>
        <w:rPr>
          <w:rFonts w:ascii="Times New Roman" w:hAnsi="Times New Roman" w:cs="Times New Roman"/>
          <w:color w:val="000000"/>
        </w:rPr>
      </w:pPr>
      <w:r w:rsidRPr="00DB754C">
        <w:rPr>
          <w:rFonts w:ascii="Times New Roman" w:hAnsi="Times New Roman" w:cs="Times New Roman"/>
          <w:color w:val="000000"/>
        </w:rPr>
        <w:t>La metodología empleada consiste en clasificar las asignaturas del plan de estudios, las ocupaciones, funciones y vacantes laborales dentro de 22 áreas de conocimiento de la ingeniería industrial, para luego establecer la relevancia de cada una de ellas mediante diagramas d</w:t>
      </w:r>
      <w:r w:rsidR="00DB754C" w:rsidRPr="00DB754C">
        <w:rPr>
          <w:rFonts w:ascii="Times New Roman" w:hAnsi="Times New Roman" w:cs="Times New Roman"/>
          <w:color w:val="000000"/>
        </w:rPr>
        <w:t>e Pareto y finalmente comparar y</w:t>
      </w:r>
      <w:r w:rsidR="007F743D" w:rsidRPr="00DB754C">
        <w:rPr>
          <w:rFonts w:ascii="Times New Roman" w:hAnsi="Times New Roman" w:cs="Times New Roman"/>
          <w:color w:val="000000"/>
        </w:rPr>
        <w:t xml:space="preserve"> analizar </w:t>
      </w:r>
      <w:r w:rsidR="00DB754C" w:rsidRPr="00DB754C">
        <w:rPr>
          <w:rFonts w:ascii="Times New Roman" w:hAnsi="Times New Roman" w:cs="Times New Roman"/>
          <w:color w:val="000000"/>
        </w:rPr>
        <w:t xml:space="preserve">los resultados </w:t>
      </w:r>
      <w:r w:rsidR="007F743D" w:rsidRPr="00DB754C">
        <w:rPr>
          <w:rFonts w:ascii="Times New Roman" w:hAnsi="Times New Roman" w:cs="Times New Roman"/>
          <w:color w:val="000000"/>
        </w:rPr>
        <w:t>y concluir</w:t>
      </w:r>
      <w:r w:rsidR="00DB754C" w:rsidRPr="00DB754C">
        <w:rPr>
          <w:rFonts w:ascii="Times New Roman" w:hAnsi="Times New Roman" w:cs="Times New Roman"/>
          <w:color w:val="000000"/>
        </w:rPr>
        <w:t xml:space="preserve"> sobre las áreas de conocimiento de la ingeniería industrial con mayor relevancia.</w:t>
      </w:r>
    </w:p>
    <w:p w14:paraId="73EBB310" w14:textId="77777777" w:rsidR="00324459" w:rsidRPr="00DB754C" w:rsidRDefault="00324459" w:rsidP="00946DFA">
      <w:pPr>
        <w:spacing w:line="360" w:lineRule="auto"/>
        <w:rPr>
          <w:rFonts w:ascii="Times New Roman" w:hAnsi="Times New Roman" w:cs="Times New Roman"/>
          <w:color w:val="000000"/>
        </w:rPr>
      </w:pPr>
    </w:p>
    <w:p w14:paraId="6C62D780" w14:textId="30A8E05E" w:rsidR="00CC043B" w:rsidRPr="00DB754C" w:rsidRDefault="00CC043B" w:rsidP="00946DFA">
      <w:pPr>
        <w:spacing w:line="360" w:lineRule="auto"/>
        <w:rPr>
          <w:rFonts w:ascii="Times New Roman" w:hAnsi="Times New Roman" w:cs="Times New Roman"/>
          <w:color w:val="000000"/>
        </w:rPr>
      </w:pPr>
    </w:p>
    <w:p w14:paraId="71B039A5" w14:textId="3AA9178B" w:rsidR="00AF5470" w:rsidRPr="00DB754C" w:rsidRDefault="00AF5470" w:rsidP="00946DFA">
      <w:pPr>
        <w:spacing w:line="360" w:lineRule="auto"/>
        <w:jc w:val="center"/>
        <w:rPr>
          <w:rFonts w:ascii="Times New Roman" w:hAnsi="Times New Roman" w:cs="Times New Roman"/>
          <w:b/>
          <w:color w:val="000000"/>
        </w:rPr>
      </w:pPr>
      <w:r w:rsidRPr="00DB754C">
        <w:rPr>
          <w:rFonts w:ascii="Times New Roman" w:hAnsi="Times New Roman" w:cs="Times New Roman"/>
          <w:b/>
          <w:color w:val="000000"/>
        </w:rPr>
        <w:t>Metodología</w:t>
      </w:r>
    </w:p>
    <w:p w14:paraId="03F8F841" w14:textId="77777777" w:rsidR="00F60EBD" w:rsidRPr="00DB754C" w:rsidRDefault="00F60EBD" w:rsidP="00946DFA">
      <w:pPr>
        <w:spacing w:line="360" w:lineRule="auto"/>
        <w:jc w:val="center"/>
        <w:rPr>
          <w:rFonts w:ascii="Times New Roman" w:hAnsi="Times New Roman" w:cs="Times New Roman"/>
          <w:b/>
          <w:color w:val="000000"/>
        </w:rPr>
      </w:pPr>
    </w:p>
    <w:p w14:paraId="018FF1DF" w14:textId="1E001DF7" w:rsidR="00946DFA" w:rsidRPr="00DB754C" w:rsidRDefault="007171B5" w:rsidP="00946DFA">
      <w:pPr>
        <w:widowControl w:val="0"/>
        <w:spacing w:line="360" w:lineRule="auto"/>
        <w:rPr>
          <w:rFonts w:ascii="Times New Roman" w:hAnsi="Times New Roman" w:cs="Times New Roman"/>
          <w:color w:val="000000"/>
        </w:rPr>
      </w:pPr>
      <w:r w:rsidRPr="00DB754C">
        <w:rPr>
          <w:rFonts w:ascii="Times New Roman" w:hAnsi="Times New Roman" w:cs="Times New Roman"/>
          <w:color w:val="000000"/>
        </w:rPr>
        <w:t>Para establecer la Relevancia de las áreas de conocimiento de la ingeniería industrial según las bases de datos ocupacionales y estadísticas de ofertas laborales,</w:t>
      </w:r>
      <w:r w:rsidR="00946DFA" w:rsidRPr="00DB754C">
        <w:rPr>
          <w:rFonts w:ascii="Times New Roman" w:hAnsi="Times New Roman" w:cs="Times New Roman"/>
          <w:color w:val="000000"/>
        </w:rPr>
        <w:t xml:space="preserve"> en primer lugar, se consultó, en diferentes fuentes, las áreas de conocimiento de la ingeniería industrial, tomando como base lo realizado por Hernández y Ubaldo (2019). </w:t>
      </w:r>
    </w:p>
    <w:p w14:paraId="058A3CD7" w14:textId="77777777" w:rsidR="00946DFA" w:rsidRPr="00DB754C" w:rsidRDefault="00946DFA" w:rsidP="00946DFA">
      <w:pPr>
        <w:widowControl w:val="0"/>
        <w:spacing w:line="360" w:lineRule="auto"/>
        <w:rPr>
          <w:rFonts w:ascii="Times New Roman" w:hAnsi="Times New Roman" w:cs="Times New Roman"/>
          <w:color w:val="000000"/>
        </w:rPr>
      </w:pPr>
    </w:p>
    <w:p w14:paraId="2F4D0647" w14:textId="234CA8BF" w:rsidR="00946DFA" w:rsidRPr="00DB754C" w:rsidRDefault="00946DFA" w:rsidP="00946DFA">
      <w:pPr>
        <w:widowControl w:val="0"/>
        <w:spacing w:line="360" w:lineRule="auto"/>
        <w:rPr>
          <w:rFonts w:ascii="Times New Roman" w:hAnsi="Times New Roman" w:cs="Times New Roman"/>
          <w:color w:val="000000"/>
        </w:rPr>
      </w:pPr>
      <w:r w:rsidRPr="00DB754C">
        <w:rPr>
          <w:rFonts w:ascii="Times New Roman" w:hAnsi="Times New Roman" w:cs="Times New Roman"/>
          <w:color w:val="000000"/>
        </w:rPr>
        <w:t xml:space="preserve">Se estableció que las áreas de conocimiento de la ingeniería industrial a tener en cuenta son listadas por el Institute of Industrial and Systems Engineers (IISE) (2021) y que se muestran 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_Ref107213880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Pr="00DB754C">
        <w:rPr>
          <w:rFonts w:ascii="Times New Roman" w:hAnsi="Times New Roman" w:cs="Times New Roman"/>
          <w:color w:val="000000"/>
        </w:rPr>
        <w:t xml:space="preserve">Tabla </w:t>
      </w:r>
      <w:r w:rsidRPr="00DB754C">
        <w:rPr>
          <w:rFonts w:ascii="Times New Roman" w:hAnsi="Times New Roman" w:cs="Times New Roman"/>
          <w:noProof/>
          <w:color w:val="000000"/>
        </w:rPr>
        <w:t>1</w:t>
      </w:r>
      <w:r w:rsidRPr="00DB754C">
        <w:rPr>
          <w:rFonts w:ascii="Times New Roman" w:hAnsi="Times New Roman" w:cs="Times New Roman"/>
          <w:color w:val="000000"/>
        </w:rPr>
        <w:fldChar w:fldCharType="end"/>
      </w:r>
      <w:r w:rsidRPr="00DB754C">
        <w:rPr>
          <w:rFonts w:ascii="Times New Roman" w:hAnsi="Times New Roman" w:cs="Times New Roman"/>
          <w:color w:val="000000"/>
        </w:rPr>
        <w:t>.</w:t>
      </w:r>
    </w:p>
    <w:p w14:paraId="4EF27A68" w14:textId="77777777" w:rsidR="00946DFA" w:rsidRPr="00DB754C" w:rsidRDefault="00946DFA" w:rsidP="00946DFA">
      <w:pPr>
        <w:widowControl w:val="0"/>
        <w:spacing w:line="360" w:lineRule="auto"/>
        <w:rPr>
          <w:rFonts w:ascii="Times New Roman" w:hAnsi="Times New Roman" w:cs="Times New Roman"/>
          <w:color w:val="000000"/>
        </w:rPr>
      </w:pPr>
    </w:p>
    <w:p w14:paraId="38F68E30" w14:textId="0BC37161" w:rsidR="00946DFA" w:rsidRPr="00DB754C" w:rsidRDefault="00946DFA" w:rsidP="00946DFA">
      <w:pPr>
        <w:pStyle w:val="Descripcin"/>
        <w:spacing w:line="360" w:lineRule="auto"/>
        <w:rPr>
          <w:b w:val="0"/>
          <w:color w:val="000000"/>
        </w:rPr>
      </w:pPr>
      <w:bookmarkStart w:id="0" w:name="_Ref107213880"/>
      <w:bookmarkStart w:id="1" w:name="_Toc109230185"/>
      <w:r w:rsidRPr="00DB754C">
        <w:rPr>
          <w:b w:val="0"/>
          <w:color w:val="000000"/>
        </w:rPr>
        <w:t xml:space="preserve">Tabla </w:t>
      </w:r>
      <w:r w:rsidRPr="00DB754C">
        <w:rPr>
          <w:b w:val="0"/>
          <w:color w:val="000000"/>
        </w:rPr>
        <w:fldChar w:fldCharType="begin"/>
      </w:r>
      <w:r w:rsidRPr="00DB754C">
        <w:rPr>
          <w:b w:val="0"/>
          <w:color w:val="000000"/>
        </w:rPr>
        <w:instrText xml:space="preserve"> SEQ Tabla \* ARABIC </w:instrText>
      </w:r>
      <w:r w:rsidRPr="00DB754C">
        <w:rPr>
          <w:b w:val="0"/>
          <w:color w:val="000000"/>
        </w:rPr>
        <w:fldChar w:fldCharType="separate"/>
      </w:r>
      <w:r w:rsidRPr="00DB754C">
        <w:rPr>
          <w:b w:val="0"/>
          <w:noProof/>
          <w:color w:val="000000"/>
        </w:rPr>
        <w:t>1</w:t>
      </w:r>
      <w:r w:rsidRPr="00DB754C">
        <w:rPr>
          <w:b w:val="0"/>
          <w:color w:val="000000"/>
        </w:rPr>
        <w:fldChar w:fldCharType="end"/>
      </w:r>
      <w:bookmarkEnd w:id="0"/>
      <w:r w:rsidRPr="00DB754C">
        <w:rPr>
          <w:b w:val="0"/>
          <w:color w:val="000000"/>
        </w:rPr>
        <w:t xml:space="preserve">. </w:t>
      </w:r>
    </w:p>
    <w:p w14:paraId="65B98A59" w14:textId="77777777" w:rsidR="00946DFA" w:rsidRPr="00DB754C" w:rsidRDefault="00946DFA" w:rsidP="00946DFA">
      <w:pPr>
        <w:pStyle w:val="Descripcin"/>
        <w:spacing w:line="360" w:lineRule="auto"/>
        <w:rPr>
          <w:b w:val="0"/>
          <w:i/>
          <w:color w:val="000000"/>
        </w:rPr>
      </w:pPr>
      <w:r w:rsidRPr="00DB754C">
        <w:rPr>
          <w:b w:val="0"/>
          <w:i/>
          <w:color w:val="000000"/>
        </w:rPr>
        <w:t>Áreas de conocimiento de la ingeniería industrial a tener en cuenta en el estudio.</w:t>
      </w:r>
      <w:bookmarkEnd w:id="1"/>
    </w:p>
    <w:tbl>
      <w:tblPr>
        <w:tblW w:w="9480" w:type="dxa"/>
        <w:tblInd w:w="-5" w:type="dxa"/>
        <w:tblLook w:val="04A0" w:firstRow="1" w:lastRow="0" w:firstColumn="1" w:lastColumn="0" w:noHBand="0" w:noVBand="1"/>
      </w:tblPr>
      <w:tblGrid>
        <w:gridCol w:w="2120"/>
        <w:gridCol w:w="7360"/>
      </w:tblGrid>
      <w:tr w:rsidR="00DB754C" w:rsidRPr="00DB754C" w14:paraId="2919FBF1" w14:textId="77777777" w:rsidTr="00946DFA">
        <w:trPr>
          <w:trHeight w:val="600"/>
          <w:tblHeader/>
        </w:trPr>
        <w:tc>
          <w:tcPr>
            <w:tcW w:w="2120" w:type="dxa"/>
            <w:tcBorders>
              <w:top w:val="single" w:sz="4" w:space="0" w:color="auto"/>
              <w:bottom w:val="single" w:sz="4" w:space="0" w:color="auto"/>
            </w:tcBorders>
            <w:shd w:val="clear" w:color="auto" w:fill="auto"/>
            <w:vAlign w:val="center"/>
            <w:hideMark/>
          </w:tcPr>
          <w:p w14:paraId="19FD5A0B" w14:textId="77777777" w:rsidR="00946DFA" w:rsidRPr="00DB754C" w:rsidRDefault="00946DFA" w:rsidP="00946DFA">
            <w:pPr>
              <w:spacing w:line="360" w:lineRule="auto"/>
              <w:jc w:val="center"/>
              <w:rPr>
                <w:rFonts w:ascii="Times New Roman" w:eastAsia="Times New Roman" w:hAnsi="Times New Roman" w:cs="Times New Roman"/>
                <w:bCs/>
                <w:color w:val="000000"/>
              </w:rPr>
            </w:pPr>
            <w:r w:rsidRPr="00DB754C">
              <w:rPr>
                <w:rFonts w:ascii="Times New Roman" w:eastAsia="Times New Roman" w:hAnsi="Times New Roman" w:cs="Times New Roman"/>
                <w:bCs/>
                <w:color w:val="000000"/>
              </w:rPr>
              <w:t>Cód. Área de Conocimiento</w:t>
            </w:r>
          </w:p>
        </w:tc>
        <w:tc>
          <w:tcPr>
            <w:tcW w:w="7360" w:type="dxa"/>
            <w:tcBorders>
              <w:top w:val="single" w:sz="4" w:space="0" w:color="auto"/>
              <w:bottom w:val="single" w:sz="4" w:space="0" w:color="auto"/>
            </w:tcBorders>
            <w:shd w:val="clear" w:color="auto" w:fill="auto"/>
            <w:vAlign w:val="center"/>
            <w:hideMark/>
          </w:tcPr>
          <w:p w14:paraId="27740614" w14:textId="77777777" w:rsidR="00946DFA" w:rsidRPr="00DB754C" w:rsidRDefault="00946DFA" w:rsidP="00946DFA">
            <w:pPr>
              <w:spacing w:line="360" w:lineRule="auto"/>
              <w:jc w:val="center"/>
              <w:rPr>
                <w:rFonts w:ascii="Times New Roman" w:eastAsia="Times New Roman" w:hAnsi="Times New Roman" w:cs="Times New Roman"/>
                <w:bCs/>
                <w:color w:val="000000"/>
              </w:rPr>
            </w:pPr>
            <w:r w:rsidRPr="00DB754C">
              <w:rPr>
                <w:rFonts w:ascii="Times New Roman" w:eastAsia="Times New Roman" w:hAnsi="Times New Roman" w:cs="Times New Roman"/>
                <w:bCs/>
                <w:color w:val="000000"/>
              </w:rPr>
              <w:t>Área de Conocimiento</w:t>
            </w:r>
          </w:p>
        </w:tc>
      </w:tr>
      <w:tr w:rsidR="00DB754C" w:rsidRPr="00DB754C" w14:paraId="2D12C8EB" w14:textId="77777777" w:rsidTr="00946DFA">
        <w:trPr>
          <w:trHeight w:val="300"/>
        </w:trPr>
        <w:tc>
          <w:tcPr>
            <w:tcW w:w="2120" w:type="dxa"/>
            <w:tcBorders>
              <w:top w:val="single" w:sz="4" w:space="0" w:color="auto"/>
            </w:tcBorders>
            <w:shd w:val="clear" w:color="auto" w:fill="auto"/>
            <w:noWrap/>
            <w:vAlign w:val="center"/>
            <w:hideMark/>
          </w:tcPr>
          <w:p w14:paraId="64E31BC0"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1</w:t>
            </w:r>
          </w:p>
        </w:tc>
        <w:tc>
          <w:tcPr>
            <w:tcW w:w="7360" w:type="dxa"/>
            <w:tcBorders>
              <w:top w:val="single" w:sz="4" w:space="0" w:color="auto"/>
            </w:tcBorders>
            <w:shd w:val="clear" w:color="auto" w:fill="auto"/>
            <w:noWrap/>
            <w:vAlign w:val="bottom"/>
            <w:hideMark/>
          </w:tcPr>
          <w:p w14:paraId="77AC6E5C"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Diseño y medición del trabajo</w:t>
            </w:r>
          </w:p>
        </w:tc>
      </w:tr>
      <w:tr w:rsidR="00DB754C" w:rsidRPr="00DB754C" w14:paraId="555D3CC2" w14:textId="77777777" w:rsidTr="00946DFA">
        <w:trPr>
          <w:trHeight w:val="300"/>
        </w:trPr>
        <w:tc>
          <w:tcPr>
            <w:tcW w:w="2120" w:type="dxa"/>
            <w:shd w:val="clear" w:color="auto" w:fill="auto"/>
            <w:noWrap/>
            <w:vAlign w:val="center"/>
            <w:hideMark/>
          </w:tcPr>
          <w:p w14:paraId="44B29ED6"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lastRenderedPageBreak/>
              <w:t>2</w:t>
            </w:r>
          </w:p>
        </w:tc>
        <w:tc>
          <w:tcPr>
            <w:tcW w:w="7360" w:type="dxa"/>
            <w:shd w:val="clear" w:color="auto" w:fill="auto"/>
            <w:noWrap/>
            <w:vAlign w:val="bottom"/>
            <w:hideMark/>
          </w:tcPr>
          <w:p w14:paraId="13844BD1"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Investigación y análisis de operaciones</w:t>
            </w:r>
          </w:p>
        </w:tc>
      </w:tr>
      <w:tr w:rsidR="00DB754C" w:rsidRPr="00DB754C" w14:paraId="42ED1501" w14:textId="77777777" w:rsidTr="00946DFA">
        <w:trPr>
          <w:trHeight w:val="300"/>
        </w:trPr>
        <w:tc>
          <w:tcPr>
            <w:tcW w:w="2120" w:type="dxa"/>
            <w:shd w:val="clear" w:color="auto" w:fill="auto"/>
            <w:noWrap/>
            <w:vAlign w:val="center"/>
            <w:hideMark/>
          </w:tcPr>
          <w:p w14:paraId="74F0C247"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3</w:t>
            </w:r>
          </w:p>
        </w:tc>
        <w:tc>
          <w:tcPr>
            <w:tcW w:w="7360" w:type="dxa"/>
            <w:shd w:val="clear" w:color="auto" w:fill="auto"/>
            <w:noWrap/>
            <w:vAlign w:val="bottom"/>
            <w:hideMark/>
          </w:tcPr>
          <w:p w14:paraId="535A1BE5"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Análisis económico de ingeniería</w:t>
            </w:r>
          </w:p>
        </w:tc>
      </w:tr>
      <w:tr w:rsidR="00DB754C" w:rsidRPr="00DB754C" w14:paraId="600D26C0" w14:textId="77777777" w:rsidTr="00946DFA">
        <w:trPr>
          <w:trHeight w:val="300"/>
        </w:trPr>
        <w:tc>
          <w:tcPr>
            <w:tcW w:w="2120" w:type="dxa"/>
            <w:shd w:val="clear" w:color="auto" w:fill="auto"/>
            <w:noWrap/>
            <w:vAlign w:val="center"/>
            <w:hideMark/>
          </w:tcPr>
          <w:p w14:paraId="1C4BA806"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4</w:t>
            </w:r>
          </w:p>
        </w:tc>
        <w:tc>
          <w:tcPr>
            <w:tcW w:w="7360" w:type="dxa"/>
            <w:shd w:val="clear" w:color="auto" w:fill="auto"/>
            <w:noWrap/>
            <w:vAlign w:val="bottom"/>
            <w:hideMark/>
          </w:tcPr>
          <w:p w14:paraId="1D79ADCC"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Ingeniería de instalaciones y gestión energética</w:t>
            </w:r>
          </w:p>
        </w:tc>
      </w:tr>
      <w:tr w:rsidR="00DB754C" w:rsidRPr="00DB754C" w14:paraId="1B742AC9" w14:textId="77777777" w:rsidTr="00946DFA">
        <w:trPr>
          <w:trHeight w:val="300"/>
        </w:trPr>
        <w:tc>
          <w:tcPr>
            <w:tcW w:w="2120" w:type="dxa"/>
            <w:shd w:val="clear" w:color="auto" w:fill="auto"/>
            <w:noWrap/>
            <w:vAlign w:val="center"/>
            <w:hideMark/>
          </w:tcPr>
          <w:p w14:paraId="73948411"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5</w:t>
            </w:r>
          </w:p>
        </w:tc>
        <w:tc>
          <w:tcPr>
            <w:tcW w:w="7360" w:type="dxa"/>
            <w:shd w:val="clear" w:color="auto" w:fill="auto"/>
            <w:noWrap/>
            <w:vAlign w:val="bottom"/>
            <w:hideMark/>
          </w:tcPr>
          <w:p w14:paraId="239B64BB"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Ingeniería de calidad y confiabilidad</w:t>
            </w:r>
          </w:p>
        </w:tc>
      </w:tr>
      <w:tr w:rsidR="00DB754C" w:rsidRPr="00DB754C" w14:paraId="10515623" w14:textId="77777777" w:rsidTr="00946DFA">
        <w:trPr>
          <w:trHeight w:val="300"/>
        </w:trPr>
        <w:tc>
          <w:tcPr>
            <w:tcW w:w="2120" w:type="dxa"/>
            <w:shd w:val="clear" w:color="auto" w:fill="auto"/>
            <w:noWrap/>
            <w:vAlign w:val="center"/>
            <w:hideMark/>
          </w:tcPr>
          <w:p w14:paraId="529A141F"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6</w:t>
            </w:r>
          </w:p>
        </w:tc>
        <w:tc>
          <w:tcPr>
            <w:tcW w:w="7360" w:type="dxa"/>
            <w:shd w:val="clear" w:color="auto" w:fill="auto"/>
            <w:noWrap/>
            <w:vAlign w:val="bottom"/>
            <w:hideMark/>
          </w:tcPr>
          <w:p w14:paraId="7C02BE74"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Ergonomía y factores humanos</w:t>
            </w:r>
          </w:p>
        </w:tc>
      </w:tr>
      <w:tr w:rsidR="00DB754C" w:rsidRPr="00DB754C" w14:paraId="4060E40C" w14:textId="77777777" w:rsidTr="00946DFA">
        <w:trPr>
          <w:trHeight w:val="300"/>
        </w:trPr>
        <w:tc>
          <w:tcPr>
            <w:tcW w:w="2120" w:type="dxa"/>
            <w:shd w:val="clear" w:color="auto" w:fill="auto"/>
            <w:noWrap/>
            <w:vAlign w:val="center"/>
            <w:hideMark/>
          </w:tcPr>
          <w:p w14:paraId="1B624912"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7</w:t>
            </w:r>
          </w:p>
        </w:tc>
        <w:tc>
          <w:tcPr>
            <w:tcW w:w="7360" w:type="dxa"/>
            <w:shd w:val="clear" w:color="auto" w:fill="auto"/>
            <w:noWrap/>
            <w:vAlign w:val="bottom"/>
            <w:hideMark/>
          </w:tcPr>
          <w:p w14:paraId="2499EE8A"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Ingeniería y gestión de operaciones</w:t>
            </w:r>
          </w:p>
        </w:tc>
      </w:tr>
      <w:tr w:rsidR="00DB754C" w:rsidRPr="00DB754C" w14:paraId="6993534E" w14:textId="77777777" w:rsidTr="00946DFA">
        <w:trPr>
          <w:trHeight w:val="300"/>
        </w:trPr>
        <w:tc>
          <w:tcPr>
            <w:tcW w:w="2120" w:type="dxa"/>
            <w:shd w:val="clear" w:color="auto" w:fill="auto"/>
            <w:noWrap/>
            <w:vAlign w:val="center"/>
            <w:hideMark/>
          </w:tcPr>
          <w:p w14:paraId="601977E0"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8</w:t>
            </w:r>
          </w:p>
        </w:tc>
        <w:tc>
          <w:tcPr>
            <w:tcW w:w="7360" w:type="dxa"/>
            <w:shd w:val="clear" w:color="auto" w:fill="auto"/>
            <w:noWrap/>
            <w:vAlign w:val="bottom"/>
            <w:hideMark/>
          </w:tcPr>
          <w:p w14:paraId="4C18AC35"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Gestión de la cadena de suministro</w:t>
            </w:r>
          </w:p>
        </w:tc>
      </w:tr>
      <w:tr w:rsidR="00DB754C" w:rsidRPr="00DB754C" w14:paraId="47F7701F" w14:textId="77777777" w:rsidTr="00946DFA">
        <w:trPr>
          <w:trHeight w:val="300"/>
        </w:trPr>
        <w:tc>
          <w:tcPr>
            <w:tcW w:w="2120" w:type="dxa"/>
            <w:shd w:val="clear" w:color="auto" w:fill="auto"/>
            <w:noWrap/>
            <w:vAlign w:val="center"/>
            <w:hideMark/>
          </w:tcPr>
          <w:p w14:paraId="53EFC04F"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w:t>
            </w:r>
          </w:p>
        </w:tc>
        <w:tc>
          <w:tcPr>
            <w:tcW w:w="7360" w:type="dxa"/>
            <w:shd w:val="clear" w:color="auto" w:fill="auto"/>
            <w:noWrap/>
            <w:vAlign w:val="bottom"/>
            <w:hideMark/>
          </w:tcPr>
          <w:p w14:paraId="2FB182E6"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Gestión de Ingeniería</w:t>
            </w:r>
          </w:p>
        </w:tc>
      </w:tr>
      <w:tr w:rsidR="00DB754C" w:rsidRPr="00DB754C" w14:paraId="12A6D2D8" w14:textId="77777777" w:rsidTr="00946DFA">
        <w:trPr>
          <w:trHeight w:val="300"/>
        </w:trPr>
        <w:tc>
          <w:tcPr>
            <w:tcW w:w="2120" w:type="dxa"/>
            <w:shd w:val="clear" w:color="auto" w:fill="auto"/>
            <w:noWrap/>
            <w:vAlign w:val="center"/>
            <w:hideMark/>
          </w:tcPr>
          <w:p w14:paraId="7A95226F"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10</w:t>
            </w:r>
          </w:p>
        </w:tc>
        <w:tc>
          <w:tcPr>
            <w:tcW w:w="7360" w:type="dxa"/>
            <w:shd w:val="clear" w:color="auto" w:fill="auto"/>
            <w:noWrap/>
            <w:vAlign w:val="bottom"/>
            <w:hideMark/>
          </w:tcPr>
          <w:p w14:paraId="4656FFF9"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Seguridad</w:t>
            </w:r>
          </w:p>
        </w:tc>
      </w:tr>
      <w:tr w:rsidR="00DB754C" w:rsidRPr="00DB754C" w14:paraId="3D85CD17" w14:textId="77777777" w:rsidTr="00946DFA">
        <w:trPr>
          <w:trHeight w:val="300"/>
        </w:trPr>
        <w:tc>
          <w:tcPr>
            <w:tcW w:w="2120" w:type="dxa"/>
            <w:shd w:val="clear" w:color="auto" w:fill="auto"/>
            <w:noWrap/>
            <w:vAlign w:val="center"/>
            <w:hideMark/>
          </w:tcPr>
          <w:p w14:paraId="24F364B7"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11</w:t>
            </w:r>
          </w:p>
        </w:tc>
        <w:tc>
          <w:tcPr>
            <w:tcW w:w="7360" w:type="dxa"/>
            <w:shd w:val="clear" w:color="auto" w:fill="auto"/>
            <w:noWrap/>
            <w:vAlign w:val="bottom"/>
            <w:hideMark/>
          </w:tcPr>
          <w:p w14:paraId="286B7575"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Ingeniería de la información</w:t>
            </w:r>
          </w:p>
        </w:tc>
      </w:tr>
      <w:tr w:rsidR="00DB754C" w:rsidRPr="00DB754C" w14:paraId="51666019" w14:textId="77777777" w:rsidTr="00946DFA">
        <w:trPr>
          <w:trHeight w:val="300"/>
        </w:trPr>
        <w:tc>
          <w:tcPr>
            <w:tcW w:w="2120" w:type="dxa"/>
            <w:shd w:val="clear" w:color="auto" w:fill="auto"/>
            <w:noWrap/>
            <w:vAlign w:val="center"/>
            <w:hideMark/>
          </w:tcPr>
          <w:p w14:paraId="5119BF0D"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12</w:t>
            </w:r>
          </w:p>
        </w:tc>
        <w:tc>
          <w:tcPr>
            <w:tcW w:w="7360" w:type="dxa"/>
            <w:shd w:val="clear" w:color="auto" w:fill="auto"/>
            <w:noWrap/>
            <w:vAlign w:val="bottom"/>
            <w:hideMark/>
          </w:tcPr>
          <w:p w14:paraId="63C32B70"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Ingeniería de diseño y fabricación</w:t>
            </w:r>
          </w:p>
        </w:tc>
      </w:tr>
      <w:tr w:rsidR="00DB754C" w:rsidRPr="00DB754C" w14:paraId="6842CDF7" w14:textId="77777777" w:rsidTr="00946DFA">
        <w:trPr>
          <w:trHeight w:val="300"/>
        </w:trPr>
        <w:tc>
          <w:tcPr>
            <w:tcW w:w="2120" w:type="dxa"/>
            <w:shd w:val="clear" w:color="auto" w:fill="auto"/>
            <w:noWrap/>
            <w:vAlign w:val="center"/>
            <w:hideMark/>
          </w:tcPr>
          <w:p w14:paraId="5F8174F3"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13</w:t>
            </w:r>
          </w:p>
        </w:tc>
        <w:tc>
          <w:tcPr>
            <w:tcW w:w="7360" w:type="dxa"/>
            <w:shd w:val="clear" w:color="auto" w:fill="auto"/>
            <w:noWrap/>
            <w:vAlign w:val="bottom"/>
            <w:hideMark/>
          </w:tcPr>
          <w:p w14:paraId="04706E44"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Diseño y desarrollo de productos</w:t>
            </w:r>
          </w:p>
        </w:tc>
      </w:tr>
      <w:tr w:rsidR="00DB754C" w:rsidRPr="00DB754C" w14:paraId="7C425D72" w14:textId="77777777" w:rsidTr="00946DFA">
        <w:trPr>
          <w:trHeight w:val="300"/>
        </w:trPr>
        <w:tc>
          <w:tcPr>
            <w:tcW w:w="2120" w:type="dxa"/>
            <w:tcBorders>
              <w:bottom w:val="single" w:sz="4" w:space="0" w:color="auto"/>
            </w:tcBorders>
            <w:shd w:val="clear" w:color="auto" w:fill="auto"/>
            <w:noWrap/>
            <w:vAlign w:val="center"/>
            <w:hideMark/>
          </w:tcPr>
          <w:p w14:paraId="65E45D76"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14</w:t>
            </w:r>
          </w:p>
        </w:tc>
        <w:tc>
          <w:tcPr>
            <w:tcW w:w="7360" w:type="dxa"/>
            <w:tcBorders>
              <w:bottom w:val="single" w:sz="4" w:space="0" w:color="auto"/>
            </w:tcBorders>
            <w:shd w:val="clear" w:color="auto" w:fill="auto"/>
            <w:noWrap/>
            <w:vAlign w:val="bottom"/>
            <w:hideMark/>
          </w:tcPr>
          <w:p w14:paraId="04E264D1"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Diseño e ingeniería de sistemas</w:t>
            </w:r>
          </w:p>
        </w:tc>
      </w:tr>
    </w:tbl>
    <w:p w14:paraId="1907CF1C" w14:textId="61D354BD" w:rsidR="00946DFA" w:rsidRPr="00DB754C" w:rsidRDefault="009968A3" w:rsidP="009968A3">
      <w:pPr>
        <w:spacing w:line="360" w:lineRule="auto"/>
        <w:rPr>
          <w:rFonts w:ascii="Times New Roman" w:hAnsi="Times New Roman" w:cs="Times New Roman"/>
          <w:color w:val="000000"/>
          <w:lang w:val="en-US"/>
        </w:rPr>
      </w:pPr>
      <w:r w:rsidRPr="00DB754C">
        <w:rPr>
          <w:rFonts w:ascii="Times New Roman" w:hAnsi="Times New Roman" w:cs="Times New Roman"/>
          <w:i/>
          <w:color w:val="000000"/>
          <w:lang w:val="en-US"/>
        </w:rPr>
        <w:t>Nota</w:t>
      </w:r>
      <w:r w:rsidRPr="00DB754C">
        <w:rPr>
          <w:rFonts w:ascii="Times New Roman" w:hAnsi="Times New Roman" w:cs="Times New Roman"/>
          <w:color w:val="000000"/>
          <w:lang w:val="en-US"/>
        </w:rPr>
        <w:t>: Adaptado de Institute of Industrial and Systems Engineers (IISE) (2021)</w:t>
      </w:r>
    </w:p>
    <w:p w14:paraId="23D33B9F" w14:textId="77777777" w:rsidR="009968A3" w:rsidRPr="00DB754C" w:rsidRDefault="009968A3" w:rsidP="00946DFA">
      <w:pPr>
        <w:spacing w:line="360" w:lineRule="auto"/>
        <w:rPr>
          <w:rFonts w:ascii="Times New Roman" w:hAnsi="Times New Roman" w:cs="Times New Roman"/>
          <w:color w:val="000000"/>
          <w:lang w:val="en-US"/>
        </w:rPr>
      </w:pPr>
    </w:p>
    <w:p w14:paraId="5BA11FD7" w14:textId="103D8991" w:rsidR="00946DFA" w:rsidRPr="00DB754C" w:rsidRDefault="00946DFA" w:rsidP="00946DFA">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Además, teniendo en cuenta las diferentes aplicaciones de los principios de la ingeniería industrial en la práctica empresarial, que se encuentran dentro del área 9 Gestión de Ingeniería, se toma la decisión de subdividirla para que los resultados se puedan analizar con mayor claridad. Por lo tanto, las subáreas consideradas en el estudio son las mostradas 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_Ref106626550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Pr="00DB754C">
        <w:rPr>
          <w:rFonts w:ascii="Times New Roman" w:hAnsi="Times New Roman" w:cs="Times New Roman"/>
          <w:color w:val="000000"/>
        </w:rPr>
        <w:t xml:space="preserve">Tabla </w:t>
      </w:r>
      <w:r w:rsidRPr="00DB754C">
        <w:rPr>
          <w:rFonts w:ascii="Times New Roman" w:hAnsi="Times New Roman" w:cs="Times New Roman"/>
          <w:noProof/>
          <w:color w:val="000000"/>
        </w:rPr>
        <w:t>2</w:t>
      </w:r>
      <w:r w:rsidRPr="00DB754C">
        <w:rPr>
          <w:rFonts w:ascii="Times New Roman" w:hAnsi="Times New Roman" w:cs="Times New Roman"/>
          <w:color w:val="000000"/>
        </w:rPr>
        <w:fldChar w:fldCharType="end"/>
      </w:r>
      <w:r w:rsidRPr="00DB754C">
        <w:rPr>
          <w:rFonts w:ascii="Times New Roman" w:hAnsi="Times New Roman" w:cs="Times New Roman"/>
          <w:color w:val="000000"/>
        </w:rPr>
        <w:t>.</w:t>
      </w:r>
    </w:p>
    <w:p w14:paraId="25AE8CDC" w14:textId="77777777" w:rsidR="00946DFA" w:rsidRPr="00DB754C" w:rsidRDefault="00946DFA" w:rsidP="00946DFA">
      <w:pPr>
        <w:spacing w:line="360" w:lineRule="auto"/>
        <w:rPr>
          <w:rFonts w:ascii="Times New Roman" w:hAnsi="Times New Roman" w:cs="Times New Roman"/>
          <w:color w:val="000000"/>
        </w:rPr>
      </w:pPr>
    </w:p>
    <w:p w14:paraId="4F4F5D90" w14:textId="054278EF" w:rsidR="00946DFA" w:rsidRPr="00DB754C" w:rsidRDefault="00946DFA" w:rsidP="00946DFA">
      <w:pPr>
        <w:pStyle w:val="Descripcin"/>
        <w:spacing w:line="360" w:lineRule="auto"/>
        <w:rPr>
          <w:b w:val="0"/>
          <w:color w:val="000000"/>
        </w:rPr>
      </w:pPr>
      <w:bookmarkStart w:id="2" w:name="_Ref106626550"/>
      <w:bookmarkStart w:id="3" w:name="_Toc109230186"/>
      <w:r w:rsidRPr="00DB754C">
        <w:rPr>
          <w:b w:val="0"/>
          <w:color w:val="000000"/>
        </w:rPr>
        <w:t xml:space="preserve">Tabla </w:t>
      </w:r>
      <w:r w:rsidRPr="00DB754C">
        <w:rPr>
          <w:b w:val="0"/>
          <w:color w:val="000000"/>
        </w:rPr>
        <w:fldChar w:fldCharType="begin"/>
      </w:r>
      <w:r w:rsidRPr="00DB754C">
        <w:rPr>
          <w:b w:val="0"/>
          <w:color w:val="000000"/>
        </w:rPr>
        <w:instrText xml:space="preserve"> SEQ Tabla \* ARABIC </w:instrText>
      </w:r>
      <w:r w:rsidRPr="00DB754C">
        <w:rPr>
          <w:b w:val="0"/>
          <w:color w:val="000000"/>
        </w:rPr>
        <w:fldChar w:fldCharType="separate"/>
      </w:r>
      <w:r w:rsidRPr="00DB754C">
        <w:rPr>
          <w:b w:val="0"/>
          <w:noProof/>
          <w:color w:val="000000"/>
        </w:rPr>
        <w:t>2</w:t>
      </w:r>
      <w:r w:rsidRPr="00DB754C">
        <w:rPr>
          <w:b w:val="0"/>
          <w:color w:val="000000"/>
        </w:rPr>
        <w:fldChar w:fldCharType="end"/>
      </w:r>
      <w:bookmarkEnd w:id="2"/>
      <w:r w:rsidRPr="00DB754C">
        <w:rPr>
          <w:b w:val="0"/>
          <w:color w:val="000000"/>
        </w:rPr>
        <w:t xml:space="preserve">. </w:t>
      </w:r>
    </w:p>
    <w:p w14:paraId="32C52AB7" w14:textId="77777777" w:rsidR="00946DFA" w:rsidRPr="00DB754C" w:rsidRDefault="00946DFA" w:rsidP="00946DFA">
      <w:pPr>
        <w:pStyle w:val="Descripcin"/>
        <w:spacing w:line="360" w:lineRule="auto"/>
        <w:rPr>
          <w:b w:val="0"/>
          <w:i/>
          <w:color w:val="000000"/>
        </w:rPr>
      </w:pPr>
      <w:r w:rsidRPr="00DB754C">
        <w:rPr>
          <w:b w:val="0"/>
          <w:i/>
          <w:color w:val="000000"/>
        </w:rPr>
        <w:t>Subáreas de Gestión de ingeniería que serán tenidas en cuenta en el estudio.</w:t>
      </w:r>
      <w:bookmarkEnd w:id="3"/>
    </w:p>
    <w:tbl>
      <w:tblPr>
        <w:tblW w:w="9480" w:type="dxa"/>
        <w:tblInd w:w="-5" w:type="dxa"/>
        <w:tblLook w:val="04A0" w:firstRow="1" w:lastRow="0" w:firstColumn="1" w:lastColumn="0" w:noHBand="0" w:noVBand="1"/>
      </w:tblPr>
      <w:tblGrid>
        <w:gridCol w:w="2120"/>
        <w:gridCol w:w="7360"/>
      </w:tblGrid>
      <w:tr w:rsidR="00DB754C" w:rsidRPr="00DB754C" w14:paraId="0CC6C5B5" w14:textId="77777777" w:rsidTr="00946DFA">
        <w:trPr>
          <w:trHeight w:val="600"/>
          <w:tblHeader/>
        </w:trPr>
        <w:tc>
          <w:tcPr>
            <w:tcW w:w="2120" w:type="dxa"/>
            <w:tcBorders>
              <w:top w:val="single" w:sz="4" w:space="0" w:color="auto"/>
              <w:bottom w:val="single" w:sz="4" w:space="0" w:color="auto"/>
            </w:tcBorders>
            <w:shd w:val="clear" w:color="auto" w:fill="auto"/>
            <w:vAlign w:val="center"/>
            <w:hideMark/>
          </w:tcPr>
          <w:p w14:paraId="51047A4F" w14:textId="77777777" w:rsidR="00946DFA" w:rsidRPr="00DB754C" w:rsidRDefault="00946DFA" w:rsidP="00946DFA">
            <w:pPr>
              <w:spacing w:line="360" w:lineRule="auto"/>
              <w:jc w:val="center"/>
              <w:rPr>
                <w:rFonts w:ascii="Times New Roman" w:eastAsia="Times New Roman" w:hAnsi="Times New Roman" w:cs="Times New Roman"/>
                <w:bCs/>
                <w:color w:val="000000"/>
              </w:rPr>
            </w:pPr>
            <w:r w:rsidRPr="00DB754C">
              <w:rPr>
                <w:rFonts w:ascii="Times New Roman" w:eastAsia="Times New Roman" w:hAnsi="Times New Roman" w:cs="Times New Roman"/>
                <w:bCs/>
                <w:color w:val="000000"/>
              </w:rPr>
              <w:t>Cód. Área de Conocimiento</w:t>
            </w:r>
          </w:p>
        </w:tc>
        <w:tc>
          <w:tcPr>
            <w:tcW w:w="7360" w:type="dxa"/>
            <w:tcBorders>
              <w:top w:val="single" w:sz="4" w:space="0" w:color="auto"/>
              <w:bottom w:val="single" w:sz="4" w:space="0" w:color="auto"/>
            </w:tcBorders>
            <w:shd w:val="clear" w:color="auto" w:fill="auto"/>
            <w:vAlign w:val="center"/>
            <w:hideMark/>
          </w:tcPr>
          <w:p w14:paraId="33D4FBA5" w14:textId="77777777" w:rsidR="00946DFA" w:rsidRPr="00DB754C" w:rsidRDefault="00946DFA" w:rsidP="00946DFA">
            <w:pPr>
              <w:spacing w:line="360" w:lineRule="auto"/>
              <w:jc w:val="center"/>
              <w:rPr>
                <w:rFonts w:ascii="Times New Roman" w:eastAsia="Times New Roman" w:hAnsi="Times New Roman" w:cs="Times New Roman"/>
                <w:bCs/>
                <w:color w:val="000000"/>
              </w:rPr>
            </w:pPr>
            <w:r w:rsidRPr="00DB754C">
              <w:rPr>
                <w:rFonts w:ascii="Times New Roman" w:eastAsia="Times New Roman" w:hAnsi="Times New Roman" w:cs="Times New Roman"/>
                <w:bCs/>
                <w:color w:val="000000"/>
              </w:rPr>
              <w:t>Área de Conocimiento</w:t>
            </w:r>
          </w:p>
        </w:tc>
      </w:tr>
      <w:tr w:rsidR="00DB754C" w:rsidRPr="00DB754C" w14:paraId="49B3816A" w14:textId="77777777" w:rsidTr="00946DFA">
        <w:trPr>
          <w:trHeight w:val="300"/>
        </w:trPr>
        <w:tc>
          <w:tcPr>
            <w:tcW w:w="2120" w:type="dxa"/>
            <w:shd w:val="clear" w:color="auto" w:fill="auto"/>
            <w:noWrap/>
            <w:vAlign w:val="center"/>
            <w:hideMark/>
          </w:tcPr>
          <w:p w14:paraId="409B5F49"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9,1</w:t>
            </w:r>
          </w:p>
        </w:tc>
        <w:tc>
          <w:tcPr>
            <w:tcW w:w="7360" w:type="dxa"/>
            <w:shd w:val="clear" w:color="auto" w:fill="auto"/>
            <w:noWrap/>
            <w:vAlign w:val="bottom"/>
            <w:hideMark/>
          </w:tcPr>
          <w:p w14:paraId="23A345A5"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Enfoque al cliente</w:t>
            </w:r>
          </w:p>
        </w:tc>
      </w:tr>
      <w:tr w:rsidR="00DB754C" w:rsidRPr="00DB754C" w14:paraId="3B8FD3CD" w14:textId="77777777" w:rsidTr="00946DFA">
        <w:trPr>
          <w:trHeight w:val="300"/>
        </w:trPr>
        <w:tc>
          <w:tcPr>
            <w:tcW w:w="2120" w:type="dxa"/>
            <w:shd w:val="clear" w:color="auto" w:fill="auto"/>
            <w:noWrap/>
            <w:vAlign w:val="center"/>
            <w:hideMark/>
          </w:tcPr>
          <w:p w14:paraId="06789B60"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9,2</w:t>
            </w:r>
          </w:p>
        </w:tc>
        <w:tc>
          <w:tcPr>
            <w:tcW w:w="7360" w:type="dxa"/>
            <w:shd w:val="clear" w:color="auto" w:fill="auto"/>
            <w:noWrap/>
            <w:vAlign w:val="bottom"/>
            <w:hideMark/>
          </w:tcPr>
          <w:p w14:paraId="5BED5983"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Liderazgo, trabajo en equipo y organización</w:t>
            </w:r>
          </w:p>
        </w:tc>
      </w:tr>
      <w:tr w:rsidR="00DB754C" w:rsidRPr="00DB754C" w14:paraId="61E656DF" w14:textId="77777777" w:rsidTr="00946DFA">
        <w:trPr>
          <w:trHeight w:val="300"/>
        </w:trPr>
        <w:tc>
          <w:tcPr>
            <w:tcW w:w="2120" w:type="dxa"/>
            <w:shd w:val="clear" w:color="auto" w:fill="auto"/>
            <w:noWrap/>
            <w:vAlign w:val="center"/>
            <w:hideMark/>
          </w:tcPr>
          <w:p w14:paraId="17BD37D1"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9,3</w:t>
            </w:r>
          </w:p>
        </w:tc>
        <w:tc>
          <w:tcPr>
            <w:tcW w:w="7360" w:type="dxa"/>
            <w:shd w:val="clear" w:color="auto" w:fill="auto"/>
            <w:noWrap/>
            <w:vAlign w:val="bottom"/>
            <w:hideMark/>
          </w:tcPr>
          <w:p w14:paraId="51130652"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Sistemas de conocimiento compartido</w:t>
            </w:r>
          </w:p>
        </w:tc>
      </w:tr>
      <w:tr w:rsidR="00DB754C" w:rsidRPr="00DB754C" w14:paraId="6A0389F0" w14:textId="77777777" w:rsidTr="00946DFA">
        <w:trPr>
          <w:trHeight w:val="300"/>
        </w:trPr>
        <w:tc>
          <w:tcPr>
            <w:tcW w:w="2120" w:type="dxa"/>
            <w:shd w:val="clear" w:color="auto" w:fill="auto"/>
            <w:noWrap/>
            <w:vAlign w:val="center"/>
            <w:hideMark/>
          </w:tcPr>
          <w:p w14:paraId="5C9F961B"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9,4</w:t>
            </w:r>
          </w:p>
        </w:tc>
        <w:tc>
          <w:tcPr>
            <w:tcW w:w="7360" w:type="dxa"/>
            <w:shd w:val="clear" w:color="auto" w:fill="auto"/>
            <w:noWrap/>
            <w:vAlign w:val="bottom"/>
            <w:hideMark/>
          </w:tcPr>
          <w:p w14:paraId="714E75A1"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Procesos comerciales</w:t>
            </w:r>
          </w:p>
        </w:tc>
      </w:tr>
      <w:tr w:rsidR="00DB754C" w:rsidRPr="00DB754C" w14:paraId="16822F90" w14:textId="77777777" w:rsidTr="00946DFA">
        <w:trPr>
          <w:trHeight w:val="300"/>
        </w:trPr>
        <w:tc>
          <w:tcPr>
            <w:tcW w:w="2120" w:type="dxa"/>
            <w:shd w:val="clear" w:color="auto" w:fill="auto"/>
            <w:noWrap/>
            <w:vAlign w:val="center"/>
            <w:hideMark/>
          </w:tcPr>
          <w:p w14:paraId="24CF9E1F"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lastRenderedPageBreak/>
              <w:t>9,5</w:t>
            </w:r>
          </w:p>
        </w:tc>
        <w:tc>
          <w:tcPr>
            <w:tcW w:w="7360" w:type="dxa"/>
            <w:shd w:val="clear" w:color="auto" w:fill="auto"/>
            <w:noWrap/>
            <w:vAlign w:val="bottom"/>
            <w:hideMark/>
          </w:tcPr>
          <w:p w14:paraId="4BF1CE3F"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Recursos y responsabilidad</w:t>
            </w:r>
          </w:p>
        </w:tc>
      </w:tr>
      <w:tr w:rsidR="00DB754C" w:rsidRPr="00DB754C" w14:paraId="2E9D3762" w14:textId="77777777" w:rsidTr="00946DFA">
        <w:trPr>
          <w:trHeight w:val="300"/>
        </w:trPr>
        <w:tc>
          <w:tcPr>
            <w:tcW w:w="2120" w:type="dxa"/>
            <w:shd w:val="clear" w:color="auto" w:fill="auto"/>
            <w:noWrap/>
            <w:vAlign w:val="center"/>
            <w:hideMark/>
          </w:tcPr>
          <w:p w14:paraId="1B6777A3"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9,6</w:t>
            </w:r>
          </w:p>
        </w:tc>
        <w:tc>
          <w:tcPr>
            <w:tcW w:w="7360" w:type="dxa"/>
            <w:shd w:val="clear" w:color="auto" w:fill="auto"/>
            <w:noWrap/>
            <w:vAlign w:val="bottom"/>
            <w:hideMark/>
          </w:tcPr>
          <w:p w14:paraId="6B657743"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Gestión estratégica</w:t>
            </w:r>
          </w:p>
        </w:tc>
      </w:tr>
      <w:tr w:rsidR="00DB754C" w:rsidRPr="00DB754C" w14:paraId="605ACCC6" w14:textId="77777777" w:rsidTr="00946DFA">
        <w:trPr>
          <w:trHeight w:val="300"/>
        </w:trPr>
        <w:tc>
          <w:tcPr>
            <w:tcW w:w="2120" w:type="dxa"/>
            <w:shd w:val="clear" w:color="auto" w:fill="auto"/>
            <w:noWrap/>
            <w:vAlign w:val="center"/>
            <w:hideMark/>
          </w:tcPr>
          <w:p w14:paraId="60626FC2"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9,7</w:t>
            </w:r>
          </w:p>
        </w:tc>
        <w:tc>
          <w:tcPr>
            <w:tcW w:w="7360" w:type="dxa"/>
            <w:shd w:val="clear" w:color="auto" w:fill="auto"/>
            <w:noWrap/>
            <w:vAlign w:val="bottom"/>
            <w:hideMark/>
          </w:tcPr>
          <w:p w14:paraId="3B66586B"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Gestión de recursos humanos</w:t>
            </w:r>
          </w:p>
        </w:tc>
      </w:tr>
      <w:tr w:rsidR="00DB754C" w:rsidRPr="00DB754C" w14:paraId="19616B71" w14:textId="77777777" w:rsidTr="009968A3">
        <w:trPr>
          <w:trHeight w:val="300"/>
        </w:trPr>
        <w:tc>
          <w:tcPr>
            <w:tcW w:w="2120" w:type="dxa"/>
            <w:shd w:val="clear" w:color="auto" w:fill="auto"/>
            <w:noWrap/>
            <w:vAlign w:val="center"/>
            <w:hideMark/>
          </w:tcPr>
          <w:p w14:paraId="166EA1D9"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9,8</w:t>
            </w:r>
          </w:p>
        </w:tc>
        <w:tc>
          <w:tcPr>
            <w:tcW w:w="7360" w:type="dxa"/>
            <w:shd w:val="clear" w:color="auto" w:fill="auto"/>
            <w:noWrap/>
            <w:vAlign w:val="bottom"/>
            <w:hideMark/>
          </w:tcPr>
          <w:p w14:paraId="2D43B41C"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Gestión de proyectos</w:t>
            </w:r>
          </w:p>
        </w:tc>
      </w:tr>
      <w:tr w:rsidR="00DB754C" w:rsidRPr="00DB754C" w14:paraId="21E0A74B" w14:textId="77777777" w:rsidTr="009968A3">
        <w:trPr>
          <w:trHeight w:val="300"/>
        </w:trPr>
        <w:tc>
          <w:tcPr>
            <w:tcW w:w="2120" w:type="dxa"/>
            <w:tcBorders>
              <w:bottom w:val="single" w:sz="4" w:space="0" w:color="auto"/>
            </w:tcBorders>
            <w:shd w:val="clear" w:color="auto" w:fill="auto"/>
            <w:noWrap/>
            <w:vAlign w:val="center"/>
            <w:hideMark/>
          </w:tcPr>
          <w:p w14:paraId="49639CA6" w14:textId="77777777" w:rsidR="00946DFA" w:rsidRPr="00DB754C" w:rsidRDefault="00946DFA" w:rsidP="00946DFA">
            <w:pPr>
              <w:spacing w:line="360" w:lineRule="auto"/>
              <w:jc w:val="center"/>
              <w:rPr>
                <w:rFonts w:ascii="Times New Roman" w:eastAsia="Times New Roman" w:hAnsi="Times New Roman" w:cs="Times New Roman"/>
                <w:color w:val="000000"/>
              </w:rPr>
            </w:pPr>
            <w:r w:rsidRPr="00DB754C">
              <w:rPr>
                <w:rFonts w:ascii="Times New Roman" w:eastAsia="Times New Roman" w:hAnsi="Times New Roman" w:cs="Times New Roman"/>
                <w:color w:val="000000"/>
              </w:rPr>
              <w:t>9,9</w:t>
            </w:r>
          </w:p>
        </w:tc>
        <w:tc>
          <w:tcPr>
            <w:tcW w:w="7360" w:type="dxa"/>
            <w:tcBorders>
              <w:bottom w:val="single" w:sz="4" w:space="0" w:color="auto"/>
            </w:tcBorders>
            <w:shd w:val="clear" w:color="auto" w:fill="auto"/>
            <w:noWrap/>
            <w:vAlign w:val="bottom"/>
            <w:hideMark/>
          </w:tcPr>
          <w:p w14:paraId="0D7D7AE7" w14:textId="77777777" w:rsidR="00946DFA" w:rsidRPr="00DB754C" w:rsidRDefault="00946DFA" w:rsidP="00946DFA">
            <w:pPr>
              <w:spacing w:line="360" w:lineRule="auto"/>
              <w:rPr>
                <w:rFonts w:ascii="Times New Roman" w:eastAsia="Times New Roman" w:hAnsi="Times New Roman" w:cs="Times New Roman"/>
                <w:color w:val="000000"/>
              </w:rPr>
            </w:pPr>
            <w:r w:rsidRPr="00DB754C">
              <w:rPr>
                <w:rFonts w:ascii="Times New Roman" w:eastAsia="Times New Roman" w:hAnsi="Times New Roman" w:cs="Times New Roman"/>
                <w:color w:val="000000"/>
              </w:rPr>
              <w:t>Gestión del desempeño a nivel organizacional</w:t>
            </w:r>
          </w:p>
        </w:tc>
      </w:tr>
    </w:tbl>
    <w:p w14:paraId="287CDB90" w14:textId="77777777" w:rsidR="009968A3" w:rsidRPr="00DB754C" w:rsidRDefault="009968A3" w:rsidP="009968A3">
      <w:pPr>
        <w:spacing w:line="360" w:lineRule="auto"/>
        <w:rPr>
          <w:rFonts w:ascii="Times New Roman" w:hAnsi="Times New Roman" w:cs="Times New Roman"/>
          <w:color w:val="000000"/>
          <w:lang w:val="en-US"/>
        </w:rPr>
      </w:pPr>
      <w:r w:rsidRPr="00DB754C">
        <w:rPr>
          <w:rFonts w:ascii="Times New Roman" w:hAnsi="Times New Roman" w:cs="Times New Roman"/>
          <w:i/>
          <w:color w:val="000000"/>
          <w:lang w:val="en-US"/>
        </w:rPr>
        <w:t>Nota</w:t>
      </w:r>
      <w:r w:rsidRPr="00DB754C">
        <w:rPr>
          <w:rFonts w:ascii="Times New Roman" w:hAnsi="Times New Roman" w:cs="Times New Roman"/>
          <w:color w:val="000000"/>
          <w:lang w:val="en-US"/>
        </w:rPr>
        <w:t>: Adaptado de Institute of Industrial and Systems Engineers (IISE) (2021)</w:t>
      </w:r>
    </w:p>
    <w:p w14:paraId="1DC3EFA1" w14:textId="5B2C0350" w:rsidR="00946DFA" w:rsidRPr="00DB754C" w:rsidRDefault="00946DFA" w:rsidP="00946DFA">
      <w:pPr>
        <w:spacing w:line="360" w:lineRule="auto"/>
        <w:rPr>
          <w:rFonts w:ascii="Times New Roman" w:hAnsi="Times New Roman" w:cs="Times New Roman"/>
          <w:color w:val="000000"/>
          <w:lang w:val="en-US"/>
        </w:rPr>
      </w:pPr>
    </w:p>
    <w:p w14:paraId="29AAF378" w14:textId="095B4B22" w:rsidR="009968A3" w:rsidRPr="00DB754C" w:rsidRDefault="009968A3" w:rsidP="009968A3">
      <w:pPr>
        <w:spacing w:line="360" w:lineRule="auto"/>
        <w:rPr>
          <w:rFonts w:ascii="Times New Roman" w:hAnsi="Times New Roman" w:cs="Times New Roman"/>
          <w:i/>
          <w:color w:val="000000"/>
        </w:rPr>
      </w:pPr>
      <w:r w:rsidRPr="00DB754C">
        <w:rPr>
          <w:rFonts w:ascii="Times New Roman" w:hAnsi="Times New Roman" w:cs="Times New Roman"/>
          <w:i/>
          <w:color w:val="000000"/>
        </w:rPr>
        <w:t>Relevancia de las áreas de conocimiento de la ingeniería industrial según bases de datos ocupacionales</w:t>
      </w:r>
    </w:p>
    <w:p w14:paraId="43DEB805" w14:textId="77777777" w:rsidR="009968A3" w:rsidRPr="00DB754C" w:rsidRDefault="009968A3" w:rsidP="009968A3">
      <w:pPr>
        <w:spacing w:line="360" w:lineRule="auto"/>
        <w:rPr>
          <w:rFonts w:ascii="Times New Roman" w:hAnsi="Times New Roman" w:cs="Times New Roman"/>
          <w:color w:val="000000"/>
        </w:rPr>
      </w:pPr>
    </w:p>
    <w:p w14:paraId="1F6C0955" w14:textId="1F981D5B" w:rsidR="00946DFA" w:rsidRPr="00DB754C" w:rsidRDefault="00946DFA" w:rsidP="00946DFA">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Una vez establecidas las áreas de conocimiento de la ingeniería industrial, se procede a obtener las bases de datos ocupacionales para el estudio. Se obtiene una base de datos ocupacional para Colombia y otra para los USA, con el fin de analizar las diferencias o similitudes entre los países. </w:t>
      </w:r>
    </w:p>
    <w:p w14:paraId="74AD2B0D" w14:textId="77777777" w:rsidR="00946DFA" w:rsidRPr="00DB754C" w:rsidRDefault="00946DFA" w:rsidP="00946DFA">
      <w:pPr>
        <w:spacing w:line="360" w:lineRule="auto"/>
        <w:rPr>
          <w:rFonts w:ascii="Times New Roman" w:hAnsi="Times New Roman" w:cs="Times New Roman"/>
          <w:color w:val="000000"/>
        </w:rPr>
      </w:pPr>
    </w:p>
    <w:p w14:paraId="0EAEBD86" w14:textId="2DA811C3" w:rsidR="00946DFA" w:rsidRPr="00DB754C" w:rsidRDefault="00946DFA" w:rsidP="00946DFA">
      <w:pPr>
        <w:spacing w:line="360" w:lineRule="auto"/>
        <w:rPr>
          <w:rFonts w:ascii="Times New Roman" w:hAnsi="Times New Roman" w:cs="Times New Roman"/>
          <w:color w:val="000000"/>
        </w:rPr>
      </w:pPr>
      <w:r w:rsidRPr="00DB754C">
        <w:rPr>
          <w:rFonts w:ascii="Times New Roman" w:hAnsi="Times New Roman" w:cs="Times New Roman"/>
          <w:color w:val="000000"/>
        </w:rPr>
        <w:t>Estas bases de datos ocupacionales a utilizar se obtienen de fuentes altamente confiables. Para el caso de Colombia,</w:t>
      </w:r>
      <w:r w:rsidR="008758B7">
        <w:rPr>
          <w:rFonts w:ascii="Times New Roman" w:hAnsi="Times New Roman" w:cs="Times New Roman"/>
          <w:color w:val="000000"/>
        </w:rPr>
        <w:t xml:space="preserve"> se emplea una base de datos</w:t>
      </w:r>
      <w:r w:rsidRPr="00DB754C">
        <w:rPr>
          <w:rFonts w:ascii="Times New Roman" w:hAnsi="Times New Roman" w:cs="Times New Roman"/>
          <w:color w:val="000000"/>
        </w:rPr>
        <w:t xml:space="preserve"> que es procedente del Observatorio Laboral y Ocupacional Colombiano que tiene como objetivo principal proveer información para orientar al país en la adopción de acciones de formación, emprendimiento y empleo. Mientras que, para </w:t>
      </w:r>
      <w:r w:rsidR="009968A3" w:rsidRPr="00DB754C">
        <w:rPr>
          <w:rFonts w:ascii="Times New Roman" w:hAnsi="Times New Roman" w:cs="Times New Roman"/>
          <w:color w:val="000000"/>
        </w:rPr>
        <w:t>USA, la información empleada e</w:t>
      </w:r>
      <w:r w:rsidRPr="00DB754C">
        <w:rPr>
          <w:rFonts w:ascii="Times New Roman" w:hAnsi="Times New Roman" w:cs="Times New Roman"/>
          <w:color w:val="000000"/>
        </w:rPr>
        <w:t xml:space="preserve">s proveniente de O*NET Resource Center, que es la principal fuente de información ocupacional del país. </w:t>
      </w:r>
    </w:p>
    <w:p w14:paraId="4BC9168C" w14:textId="77777777" w:rsidR="009968A3" w:rsidRPr="00DB754C" w:rsidRDefault="009968A3" w:rsidP="00946DFA">
      <w:pPr>
        <w:spacing w:line="360" w:lineRule="auto"/>
        <w:rPr>
          <w:rFonts w:ascii="Times New Roman" w:hAnsi="Times New Roman" w:cs="Times New Roman"/>
          <w:color w:val="000000"/>
        </w:rPr>
      </w:pPr>
    </w:p>
    <w:p w14:paraId="4287FD0A" w14:textId="76CE9C1E" w:rsidR="00946DFA" w:rsidRPr="00DB754C" w:rsidRDefault="009968A3" w:rsidP="00946DFA">
      <w:pPr>
        <w:spacing w:line="360" w:lineRule="auto"/>
        <w:rPr>
          <w:rFonts w:ascii="Times New Roman" w:hAnsi="Times New Roman" w:cs="Times New Roman"/>
          <w:color w:val="000000"/>
        </w:rPr>
      </w:pPr>
      <w:r w:rsidRPr="00DB754C">
        <w:rPr>
          <w:rFonts w:ascii="Times New Roman" w:hAnsi="Times New Roman" w:cs="Times New Roman"/>
          <w:color w:val="000000"/>
        </w:rPr>
        <w:t>La base de datos colombiana</w:t>
      </w:r>
      <w:r w:rsidR="00946DFA" w:rsidRPr="00DB754C">
        <w:rPr>
          <w:rFonts w:ascii="Times New Roman" w:hAnsi="Times New Roman" w:cs="Times New Roman"/>
          <w:color w:val="000000"/>
        </w:rPr>
        <w:t xml:space="preserve"> cuenta con 4470 funciones asociadas a 566 ocupaciones. Además, cuenta con la descripción de cada uno de las ocupaciones o cargos y otra información relacionada con las habilidades y conocimientos requeridos, así como las ocupaciones relacionadas y denominaciones de cada una. De igual manera, </w:t>
      </w:r>
      <w:r w:rsidRPr="00DB754C">
        <w:rPr>
          <w:rFonts w:ascii="Times New Roman" w:hAnsi="Times New Roman" w:cs="Times New Roman"/>
          <w:color w:val="000000"/>
        </w:rPr>
        <w:t xml:space="preserve">en la base de datos americana </w:t>
      </w:r>
      <w:r w:rsidR="00946DFA" w:rsidRPr="00DB754C">
        <w:rPr>
          <w:rFonts w:ascii="Times New Roman" w:hAnsi="Times New Roman" w:cs="Times New Roman"/>
          <w:color w:val="000000"/>
        </w:rPr>
        <w:t>se pueden encontrar 23014 tareas o funciones correspondientes a 923 ocupaciones O*NET-SOC</w:t>
      </w:r>
      <w:r w:rsidRPr="00DB754C">
        <w:rPr>
          <w:rFonts w:ascii="Times New Roman" w:hAnsi="Times New Roman" w:cs="Times New Roman"/>
          <w:color w:val="000000"/>
        </w:rPr>
        <w:t>.</w:t>
      </w:r>
    </w:p>
    <w:p w14:paraId="6F482E9F" w14:textId="11B39F83" w:rsidR="009968A3" w:rsidRPr="00DB754C" w:rsidRDefault="009968A3" w:rsidP="00946DFA">
      <w:pPr>
        <w:spacing w:line="360" w:lineRule="auto"/>
        <w:rPr>
          <w:rFonts w:ascii="Times New Roman" w:hAnsi="Times New Roman" w:cs="Times New Roman"/>
          <w:color w:val="000000"/>
        </w:rPr>
      </w:pPr>
    </w:p>
    <w:p w14:paraId="2A0B75E1" w14:textId="77777777" w:rsidR="009968A3"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Luego de contar con la información necesaria, se procede a clasificar las tareas o funciones laborales enlistadas en cada base de datos ocupacional, dentro de las diferentes áreas de conocimiento establecidas anteriormente, siempre y cuando tengan relación alguna.</w:t>
      </w:r>
    </w:p>
    <w:p w14:paraId="14B604CB" w14:textId="45257421" w:rsidR="009968A3"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t>Posteriormente, se calcula el porcentaje de funciones clasificadas para cada ocupación:</w:t>
      </w:r>
    </w:p>
    <w:p w14:paraId="48E4ECD4" w14:textId="77777777" w:rsidR="009968A3" w:rsidRPr="00DB754C" w:rsidRDefault="009968A3" w:rsidP="009968A3">
      <w:pPr>
        <w:spacing w:line="360" w:lineRule="auto"/>
        <w:rPr>
          <w:rFonts w:ascii="Times New Roman" w:hAnsi="Times New Roman" w:cs="Times New Roman"/>
          <w:color w:val="000000"/>
        </w:rPr>
      </w:pPr>
    </w:p>
    <w:p w14:paraId="25E2A13C" w14:textId="6F324770" w:rsidR="009968A3" w:rsidRPr="00DB754C" w:rsidRDefault="009968A3" w:rsidP="009968A3">
      <w:pPr>
        <w:spacing w:line="360" w:lineRule="auto"/>
        <w:rPr>
          <w:rFonts w:ascii="Times New Roman" w:hAnsi="Times New Roman" w:cs="Times New Roman"/>
          <w:color w:val="000000"/>
        </w:rPr>
      </w:pPr>
      <m:oMathPara>
        <m:oMath>
          <m:r>
            <w:rPr>
              <w:rFonts w:ascii="Cambria Math" w:hAnsi="Cambria Math" w:cs="Times New Roman"/>
              <w:color w:val="000000"/>
            </w:rPr>
            <m:t>%=</m:t>
          </m:r>
          <m:f>
            <m:fPr>
              <m:ctrlPr>
                <w:rPr>
                  <w:rFonts w:ascii="Cambria Math" w:hAnsi="Cambria Math" w:cs="Times New Roman"/>
                  <w:i/>
                  <w:color w:val="000000"/>
                </w:rPr>
              </m:ctrlPr>
            </m:fPr>
            <m:num>
              <m:r>
                <w:rPr>
                  <w:rFonts w:ascii="Cambria Math" w:hAnsi="Cambria Math" w:cs="Times New Roman"/>
                  <w:color w:val="000000"/>
                </w:rPr>
                <m:t>Cantidad de funciones asociadas a la ocupación que se lograron clasificar</m:t>
              </m:r>
            </m:num>
            <m:den>
              <m:r>
                <w:rPr>
                  <w:rFonts w:ascii="Cambria Math" w:hAnsi="Cambria Math" w:cs="Times New Roman"/>
                  <w:color w:val="000000"/>
                </w:rPr>
                <m:t xml:space="preserve">Cantidad de funciones asociadas a la ocupación </m:t>
              </m:r>
            </m:den>
          </m:f>
        </m:oMath>
      </m:oMathPara>
    </w:p>
    <w:p w14:paraId="6ECFD2B3" w14:textId="77777777" w:rsidR="009968A3" w:rsidRPr="00DB754C" w:rsidRDefault="009968A3" w:rsidP="009968A3">
      <w:pPr>
        <w:spacing w:line="360" w:lineRule="auto"/>
        <w:rPr>
          <w:rFonts w:ascii="Times New Roman" w:hAnsi="Times New Roman" w:cs="Times New Roman"/>
          <w:color w:val="000000"/>
        </w:rPr>
      </w:pPr>
    </w:p>
    <w:p w14:paraId="32FB3164" w14:textId="10E66A98" w:rsidR="009968A3"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t>Una vez obtenido este porcentaje, se procede a filtrar aquellos cargos cuyas funciones clasificadas superan el 60%, ya que se consideran cargos que podrían ser desarrollados por un ingeniero industrial y se desechan aquellos que no cumplen con este requisito. Seguidamente, se obtiene la cantidad de funciones asociadas a cada área de conocimiento y se procede a realizar un diagrama de Pareto para cada base de datos con el fin de establecer en cuáles áreas se encuentra la mayor concentración de funciones.</w:t>
      </w:r>
    </w:p>
    <w:p w14:paraId="7293F6B3" w14:textId="316C14AF" w:rsidR="009968A3" w:rsidRPr="00DB754C" w:rsidRDefault="009968A3" w:rsidP="009968A3">
      <w:pPr>
        <w:spacing w:line="360" w:lineRule="auto"/>
        <w:rPr>
          <w:rFonts w:ascii="Times New Roman" w:hAnsi="Times New Roman" w:cs="Times New Roman"/>
          <w:color w:val="000000"/>
        </w:rPr>
      </w:pPr>
    </w:p>
    <w:p w14:paraId="1A624788" w14:textId="718B470D" w:rsidR="009968A3"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t>Por otra parte, en cuanto a las ocupaciones o cargos, se estableció que una ocupación se clasifica dentro de del área de conocimiento que contenga la mayor cantidad de funciones clasificadas. Por ejemplo, el cargo de Gerente de talento humano tiene 9 funciones, de las cuales 6 corresponden a Gestión de recursos humanos, 2 a Liderazgo trabajo en equipo y organización y la última a Seguridad, por lo tanto, esta ocupación o cargo fue clasificado en del área de Gestión de recursos humanos. Este procedimiento se realizó para todos los cargos que tienen más del 60% de sus funciones clasificadas dentro de las áreas de conocimiento de la ingeniería industrial.</w:t>
      </w:r>
    </w:p>
    <w:p w14:paraId="0731A0EE" w14:textId="7C72C475" w:rsidR="009968A3" w:rsidRPr="00DB754C" w:rsidRDefault="009968A3" w:rsidP="009968A3">
      <w:pPr>
        <w:spacing w:line="360" w:lineRule="auto"/>
        <w:rPr>
          <w:rFonts w:ascii="Times New Roman" w:hAnsi="Times New Roman" w:cs="Times New Roman"/>
          <w:color w:val="000000"/>
        </w:rPr>
      </w:pPr>
    </w:p>
    <w:p w14:paraId="59E7C745" w14:textId="5CE79016" w:rsidR="009968A3" w:rsidRPr="00DB754C" w:rsidRDefault="009968A3" w:rsidP="009968A3">
      <w:pPr>
        <w:spacing w:line="360" w:lineRule="auto"/>
        <w:rPr>
          <w:rFonts w:ascii="Times New Roman" w:hAnsi="Times New Roman" w:cs="Times New Roman"/>
          <w:i/>
          <w:color w:val="000000"/>
        </w:rPr>
      </w:pPr>
      <w:r w:rsidRPr="00DB754C">
        <w:rPr>
          <w:rFonts w:ascii="Times New Roman" w:hAnsi="Times New Roman" w:cs="Times New Roman"/>
          <w:i/>
          <w:color w:val="000000"/>
        </w:rPr>
        <w:t>Relevancia de las áreas de conocimiento de la ingeniería industrial según estadísticas de ofertas laborales</w:t>
      </w:r>
    </w:p>
    <w:p w14:paraId="3A8F8604" w14:textId="77777777" w:rsidR="009968A3" w:rsidRPr="00DB754C" w:rsidRDefault="009968A3" w:rsidP="009968A3">
      <w:pPr>
        <w:spacing w:line="360" w:lineRule="auto"/>
        <w:rPr>
          <w:rFonts w:ascii="Times New Roman" w:hAnsi="Times New Roman" w:cs="Times New Roman"/>
          <w:color w:val="000000"/>
        </w:rPr>
      </w:pPr>
    </w:p>
    <w:p w14:paraId="44BB651B" w14:textId="3A50FC5E" w:rsidR="009968A3"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En esta parte del estudio, se tomó como fuente de información los informes publicados por el Observatorio Laboral y Ocupacional Colombiano en cuanto a las tendencias de las ocupaciones. Estos informes contienen la información del número de personas que buscan </w:t>
      </w:r>
      <w:r w:rsidRPr="00DB754C">
        <w:rPr>
          <w:rFonts w:ascii="Times New Roman" w:hAnsi="Times New Roman" w:cs="Times New Roman"/>
          <w:color w:val="000000"/>
        </w:rPr>
        <w:lastRenderedPageBreak/>
        <w:t xml:space="preserve">empleo, de vacantes, y de personas que lograron vincularse laboralmente, durante un período determinado (SENA, s.f). </w:t>
      </w:r>
    </w:p>
    <w:p w14:paraId="4FEE6249" w14:textId="77777777" w:rsidR="009968A3" w:rsidRPr="00DB754C" w:rsidRDefault="009968A3" w:rsidP="009968A3">
      <w:pPr>
        <w:spacing w:line="360" w:lineRule="auto"/>
        <w:rPr>
          <w:rFonts w:ascii="Times New Roman" w:hAnsi="Times New Roman" w:cs="Times New Roman"/>
          <w:color w:val="000000"/>
        </w:rPr>
      </w:pPr>
    </w:p>
    <w:p w14:paraId="557B9145" w14:textId="6422A16F" w:rsidR="009968A3"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t>Una vez obtenidos los informes necesarios, se procedió a extraer la cantidad de vacantes, por año, para cada uno de los cargos que tienen más del 60% de sus funciones clasificadas dentro de las áreas de conocimiento de la ingeniería industrial. Se utilizaron los datos de las vacantes disponibles desde el año 2012 hasta el 2021.</w:t>
      </w:r>
    </w:p>
    <w:p w14:paraId="7B18C003" w14:textId="77777777" w:rsidR="009968A3" w:rsidRPr="00DB754C" w:rsidRDefault="009968A3" w:rsidP="009968A3">
      <w:pPr>
        <w:spacing w:line="360" w:lineRule="auto"/>
        <w:rPr>
          <w:rFonts w:ascii="Times New Roman" w:hAnsi="Times New Roman" w:cs="Times New Roman"/>
          <w:color w:val="000000"/>
        </w:rPr>
      </w:pPr>
    </w:p>
    <w:p w14:paraId="4C5755B0" w14:textId="16683DC7" w:rsidR="009968A3"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Posteriormente, </w:t>
      </w:r>
      <w:bookmarkStart w:id="4" w:name="_GoBack"/>
      <w:r w:rsidRPr="00DB754C">
        <w:rPr>
          <w:rFonts w:ascii="Times New Roman" w:hAnsi="Times New Roman" w:cs="Times New Roman"/>
          <w:color w:val="000000"/>
        </w:rPr>
        <w:t xml:space="preserve">se procedió a identificar las asignaturas del plan de estudios 11 de Ingeniería Industrial que son dictadas exclusivamente por la Escuela de Estudios Industriales y Empresariales (EEIE), dejando por fuera aquellas que son ofrecidas por otras escuelas, como por ejemplo Cálculo, Física, Termodinámica, entre otras. De igual manera, no se tuvo en cuenta las asignaturas electivas, ya que no son cursadas por todos los estudiantes del programa y podrían sesgar los resultados. </w:t>
      </w:r>
    </w:p>
    <w:p w14:paraId="3816B537" w14:textId="77777777" w:rsidR="00F60EBD" w:rsidRPr="00DB754C" w:rsidRDefault="00F60EBD" w:rsidP="009968A3">
      <w:pPr>
        <w:spacing w:line="360" w:lineRule="auto"/>
        <w:rPr>
          <w:rFonts w:ascii="Times New Roman" w:hAnsi="Times New Roman" w:cs="Times New Roman"/>
          <w:color w:val="000000"/>
        </w:rPr>
      </w:pPr>
    </w:p>
    <w:p w14:paraId="0B2A7EE4" w14:textId="01589768" w:rsidR="00F60EBD" w:rsidRPr="00DB754C" w:rsidRDefault="009968A3" w:rsidP="009968A3">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Luego, se clasificó cada una de estas asignaturas dentro de las áreas de conocimiento de la Ingeniería Industrial, teniendo en cuenta el contenido publicado en la página de la EEIE. Se encontraron asignaturas con contenidos correspondientes a dos o más áreas de conocimiento, pero estas se clasificaron dentro de aquellas áreas que abarcaran la mayor cantidad de unidades. </w:t>
      </w:r>
    </w:p>
    <w:p w14:paraId="3EB51054" w14:textId="77777777" w:rsidR="00F60EBD" w:rsidRPr="00DB754C" w:rsidRDefault="00F60EBD" w:rsidP="009968A3">
      <w:pPr>
        <w:spacing w:line="360" w:lineRule="auto"/>
        <w:rPr>
          <w:rFonts w:ascii="Times New Roman" w:hAnsi="Times New Roman" w:cs="Times New Roman"/>
          <w:color w:val="000000"/>
        </w:rPr>
      </w:pPr>
    </w:p>
    <w:p w14:paraId="74732004" w14:textId="6F658FAD" w:rsidR="00AF5470" w:rsidRPr="00DB754C" w:rsidRDefault="00F60EBD" w:rsidP="00F60EBD">
      <w:pPr>
        <w:spacing w:line="360" w:lineRule="auto"/>
        <w:rPr>
          <w:rFonts w:ascii="Times New Roman" w:hAnsi="Times New Roman" w:cs="Times New Roman"/>
          <w:color w:val="000000"/>
        </w:rPr>
      </w:pPr>
      <w:r w:rsidRPr="00DB754C">
        <w:rPr>
          <w:rFonts w:ascii="Times New Roman" w:hAnsi="Times New Roman" w:cs="Times New Roman"/>
          <w:color w:val="000000"/>
        </w:rPr>
        <w:t>Finalmente se compararon</w:t>
      </w:r>
      <w:r w:rsidR="007171B5" w:rsidRPr="00DB754C">
        <w:rPr>
          <w:rFonts w:ascii="Times New Roman" w:hAnsi="Times New Roman" w:cs="Times New Roman"/>
          <w:color w:val="000000"/>
        </w:rPr>
        <w:t xml:space="preserve"> los resultados </w:t>
      </w:r>
      <w:r w:rsidRPr="00DB754C">
        <w:rPr>
          <w:rFonts w:ascii="Times New Roman" w:hAnsi="Times New Roman" w:cs="Times New Roman"/>
          <w:color w:val="000000"/>
        </w:rPr>
        <w:t>obtenidos</w:t>
      </w:r>
      <w:r w:rsidR="007171B5" w:rsidRPr="00DB754C">
        <w:rPr>
          <w:rFonts w:ascii="Times New Roman" w:hAnsi="Times New Roman" w:cs="Times New Roman"/>
          <w:color w:val="000000"/>
        </w:rPr>
        <w:t>, buscando determinar la similitud entre estos. Es decir, establecer cuáles áreas de conocimiento de la ingeniería industrial son consideradas como las más relevantes desde la perspectiva de las bases de datos ocupacionales y las ofertas laborales.</w:t>
      </w:r>
      <w:r w:rsidRPr="00DB754C">
        <w:rPr>
          <w:rFonts w:ascii="Times New Roman" w:hAnsi="Times New Roman" w:cs="Times New Roman"/>
          <w:color w:val="000000"/>
        </w:rPr>
        <w:t xml:space="preserve"> Lo anterior con el fin de c</w:t>
      </w:r>
      <w:r w:rsidR="007171B5" w:rsidRPr="00DB754C">
        <w:rPr>
          <w:rFonts w:ascii="Times New Roman" w:hAnsi="Times New Roman" w:cs="Times New Roman"/>
          <w:color w:val="000000"/>
        </w:rPr>
        <w:t>otejar si las áreas identificadas en este estudio como las más relevantes, son las que abarcan la mayor cantidad de asignaturas dentro del plan de estudios de Ingeniería Industrial de la Universidad Industrial de Santander.</w:t>
      </w:r>
    </w:p>
    <w:bookmarkEnd w:id="4"/>
    <w:p w14:paraId="2645D81C" w14:textId="2D435F8A" w:rsidR="00F60EBD" w:rsidRPr="00DB754C" w:rsidRDefault="00F60EBD" w:rsidP="00F60EBD">
      <w:pPr>
        <w:spacing w:line="360" w:lineRule="auto"/>
        <w:rPr>
          <w:rFonts w:ascii="Times New Roman" w:hAnsi="Times New Roman" w:cs="Times New Roman"/>
          <w:b/>
          <w:color w:val="000000"/>
        </w:rPr>
      </w:pPr>
    </w:p>
    <w:p w14:paraId="0CB50F3F" w14:textId="77777777" w:rsidR="000E3BD4" w:rsidRPr="00DB754C" w:rsidRDefault="000E3BD4" w:rsidP="00F60EBD">
      <w:pPr>
        <w:spacing w:line="360" w:lineRule="auto"/>
        <w:rPr>
          <w:rFonts w:ascii="Times New Roman" w:hAnsi="Times New Roman" w:cs="Times New Roman"/>
          <w:b/>
          <w:color w:val="000000"/>
        </w:rPr>
      </w:pPr>
    </w:p>
    <w:p w14:paraId="7FA0415F" w14:textId="77777777" w:rsidR="00AF5470" w:rsidRPr="00DB754C" w:rsidRDefault="00AF5470" w:rsidP="00324459">
      <w:pPr>
        <w:spacing w:line="360" w:lineRule="auto"/>
        <w:jc w:val="center"/>
        <w:rPr>
          <w:rFonts w:ascii="Times New Roman" w:hAnsi="Times New Roman" w:cs="Times New Roman"/>
          <w:b/>
          <w:color w:val="000000"/>
        </w:rPr>
      </w:pPr>
      <w:r w:rsidRPr="00DB754C">
        <w:rPr>
          <w:rFonts w:ascii="Times New Roman" w:hAnsi="Times New Roman" w:cs="Times New Roman"/>
          <w:b/>
          <w:color w:val="000000"/>
        </w:rPr>
        <w:t>Resultados</w:t>
      </w:r>
    </w:p>
    <w:p w14:paraId="41F8C688" w14:textId="77777777" w:rsidR="00AF5470" w:rsidRPr="00DB754C" w:rsidRDefault="00AF5470" w:rsidP="00324459">
      <w:pPr>
        <w:spacing w:line="360" w:lineRule="auto"/>
        <w:jc w:val="center"/>
        <w:rPr>
          <w:rFonts w:ascii="Times New Roman" w:hAnsi="Times New Roman" w:cs="Times New Roman"/>
          <w:b/>
          <w:color w:val="000000"/>
        </w:rPr>
      </w:pPr>
    </w:p>
    <w:p w14:paraId="7FE53455" w14:textId="246A5D70" w:rsidR="00AF5470" w:rsidRPr="00DB754C" w:rsidRDefault="00F60EBD" w:rsidP="00F60EBD">
      <w:pPr>
        <w:spacing w:line="360" w:lineRule="auto"/>
        <w:rPr>
          <w:rFonts w:ascii="Times New Roman" w:hAnsi="Times New Roman" w:cs="Times New Roman"/>
          <w:i/>
          <w:color w:val="000000"/>
        </w:rPr>
      </w:pPr>
      <w:r w:rsidRPr="00DB754C">
        <w:rPr>
          <w:rFonts w:ascii="Times New Roman" w:hAnsi="Times New Roman" w:cs="Times New Roman"/>
          <w:i/>
          <w:color w:val="000000"/>
        </w:rPr>
        <w:t>Relevancia de las áreas de conocimiento de la ingeniería industrial según bases de datos ocupacionales</w:t>
      </w:r>
    </w:p>
    <w:p w14:paraId="1F8F65D6" w14:textId="747F8A7F" w:rsidR="00F60EBD" w:rsidRPr="00DB754C" w:rsidRDefault="00F60EBD" w:rsidP="00F60EBD">
      <w:pPr>
        <w:spacing w:line="360" w:lineRule="auto"/>
        <w:rPr>
          <w:rFonts w:ascii="Times New Roman" w:hAnsi="Times New Roman" w:cs="Times New Roman"/>
          <w:color w:val="000000"/>
        </w:rPr>
      </w:pPr>
    </w:p>
    <w:p w14:paraId="4ED81301" w14:textId="3BC8DBAA" w:rsidR="00F60EBD" w:rsidRPr="00DB754C" w:rsidRDefault="00F60EBD" w:rsidP="00F60EBD">
      <w:pPr>
        <w:spacing w:line="360" w:lineRule="auto"/>
        <w:rPr>
          <w:rFonts w:ascii="Times New Roman" w:eastAsiaTheme="minorEastAsia" w:hAnsi="Times New Roman" w:cs="Times New Roman"/>
          <w:color w:val="000000"/>
        </w:rPr>
      </w:pPr>
      <w:r w:rsidRPr="00DB754C">
        <w:rPr>
          <w:rFonts w:ascii="Times New Roman" w:eastAsiaTheme="minorEastAsia" w:hAnsi="Times New Roman" w:cs="Times New Roman"/>
          <w:color w:val="000000"/>
        </w:rPr>
        <w:t xml:space="preserve">Para el caso de Colombia, </w:t>
      </w:r>
      <w:r w:rsidR="00715DCF" w:rsidRPr="00DB754C">
        <w:rPr>
          <w:rFonts w:ascii="Times New Roman" w:eastAsiaTheme="minorEastAsia" w:hAnsi="Times New Roman" w:cs="Times New Roman"/>
          <w:color w:val="000000"/>
        </w:rPr>
        <w:t>es</w:t>
      </w:r>
      <w:r w:rsidRPr="00DB754C">
        <w:rPr>
          <w:rFonts w:ascii="Times New Roman" w:eastAsiaTheme="minorEastAsia" w:hAnsi="Times New Roman" w:cs="Times New Roman"/>
          <w:color w:val="000000"/>
        </w:rPr>
        <w:t xml:space="preserve"> importante aclarar, que en total se lograron asociar 1073 funciones, pero solo 761 corresponden a funciones de ocupaciones que podría desempeñar un ingeniero industrial, dejando por fuera aquellas correspondientes a ocupaciones como operarios, ensambladores, obreros, técnicos, especialistas, magísteres, entre otros, que por sobrecalificación o falta de formación, no sería adecuado que se desarrollaran por el ingeniero industrial. </w:t>
      </w:r>
    </w:p>
    <w:p w14:paraId="663D39B8" w14:textId="77777777" w:rsidR="00F60EBD" w:rsidRPr="00DB754C" w:rsidRDefault="00F60EBD" w:rsidP="00F60EBD">
      <w:pPr>
        <w:spacing w:line="360" w:lineRule="auto"/>
        <w:rPr>
          <w:rFonts w:ascii="Times New Roman" w:eastAsiaTheme="minorEastAsia" w:hAnsi="Times New Roman" w:cs="Times New Roman"/>
          <w:color w:val="000000"/>
        </w:rPr>
      </w:pPr>
    </w:p>
    <w:p w14:paraId="525DFD4E" w14:textId="3E13C5D8" w:rsidR="00F60EBD" w:rsidRPr="00DB754C" w:rsidRDefault="00F60EBD" w:rsidP="007C3CB8">
      <w:pPr>
        <w:spacing w:line="360" w:lineRule="auto"/>
        <w:rPr>
          <w:rFonts w:ascii="Times New Roman" w:eastAsiaTheme="minorEastAsia" w:hAnsi="Times New Roman" w:cs="Times New Roman"/>
          <w:color w:val="000000"/>
        </w:rPr>
      </w:pPr>
      <w:r w:rsidRPr="00DB754C">
        <w:rPr>
          <w:rFonts w:ascii="Times New Roman" w:eastAsiaTheme="minorEastAsia" w:hAnsi="Times New Roman" w:cs="Times New Roman"/>
          <w:color w:val="000000"/>
        </w:rPr>
        <w:t xml:space="preserve">En la </w:t>
      </w:r>
      <w:r w:rsidRPr="00DB754C">
        <w:rPr>
          <w:rFonts w:ascii="Times New Roman" w:eastAsiaTheme="minorEastAsia" w:hAnsi="Times New Roman" w:cs="Times New Roman"/>
          <w:color w:val="000000"/>
        </w:rPr>
        <w:fldChar w:fldCharType="begin"/>
      </w:r>
      <w:r w:rsidRPr="00DB754C">
        <w:rPr>
          <w:rFonts w:ascii="Times New Roman" w:eastAsiaTheme="minorEastAsia" w:hAnsi="Times New Roman" w:cs="Times New Roman"/>
          <w:color w:val="000000"/>
        </w:rPr>
        <w:instrText xml:space="preserve"> REF _Ref106628619 \h  \* MERGEFORMAT </w:instrText>
      </w:r>
      <w:r w:rsidRPr="00DB754C">
        <w:rPr>
          <w:rFonts w:ascii="Times New Roman" w:eastAsiaTheme="minorEastAsia" w:hAnsi="Times New Roman" w:cs="Times New Roman"/>
          <w:color w:val="000000"/>
        </w:rPr>
      </w:r>
      <w:r w:rsidRPr="00DB754C">
        <w:rPr>
          <w:rFonts w:ascii="Times New Roman" w:eastAsiaTheme="minorEastAsia" w:hAnsi="Times New Roman" w:cs="Times New Roman"/>
          <w:color w:val="000000"/>
        </w:rPr>
        <w:fldChar w:fldCharType="separate"/>
      </w:r>
      <w:r w:rsidRPr="00DB754C">
        <w:rPr>
          <w:rFonts w:ascii="Times New Roman" w:hAnsi="Times New Roman" w:cs="Times New Roman"/>
          <w:color w:val="000000"/>
        </w:rPr>
        <w:t xml:space="preserve">Figura </w:t>
      </w:r>
      <w:r w:rsidRPr="00DB754C">
        <w:rPr>
          <w:rFonts w:ascii="Times New Roman" w:hAnsi="Times New Roman" w:cs="Times New Roman"/>
          <w:noProof/>
          <w:color w:val="000000"/>
        </w:rPr>
        <w:t>1</w:t>
      </w:r>
      <w:r w:rsidRPr="00DB754C">
        <w:rPr>
          <w:rFonts w:ascii="Times New Roman" w:eastAsiaTheme="minorEastAsia" w:hAnsi="Times New Roman" w:cs="Times New Roman"/>
          <w:color w:val="000000"/>
        </w:rPr>
        <w:fldChar w:fldCharType="end"/>
      </w:r>
      <w:r w:rsidRPr="00DB754C">
        <w:rPr>
          <w:rFonts w:ascii="Times New Roman" w:eastAsiaTheme="minorEastAsia" w:hAnsi="Times New Roman" w:cs="Times New Roman"/>
          <w:color w:val="000000"/>
        </w:rPr>
        <w:t xml:space="preserve"> se evidencia que Ingeniería y gestión de operaciones es el área que más funciones ocupacionales contiene, con más del 26%, en segundo lugar está la Gestión de recursos humanos con 15%, en tercer lugar se encuentra la Gestión estratégica con más del 10%, seguida por Análisis económico de ingeniería, Ingeniería de calidad y confiabilidad, Enfoque al Cliente y Gestión de la cadena de suministro con 9,87%, 8,59%, 5,34%, y 4,53% respectivamente. Lo anterior permite afirmar que el 80% de las funciones ocupacionales del ingeniero industrial en Colombia están asociadas a este 20% de áreas de conocimiento de la ingeniería industrial.</w:t>
      </w:r>
    </w:p>
    <w:p w14:paraId="482E75B6" w14:textId="77777777" w:rsidR="00F60EBD" w:rsidRPr="00DB754C" w:rsidRDefault="00F60EBD" w:rsidP="00F60EBD">
      <w:pPr>
        <w:spacing w:line="360" w:lineRule="auto"/>
        <w:rPr>
          <w:rFonts w:ascii="Times New Roman" w:eastAsiaTheme="minorEastAsia" w:hAnsi="Times New Roman" w:cs="Times New Roman"/>
          <w:color w:val="000000"/>
        </w:rPr>
      </w:pPr>
    </w:p>
    <w:p w14:paraId="3966B291" w14:textId="77777777" w:rsidR="00F60EBD" w:rsidRPr="00DB754C" w:rsidRDefault="00F60EBD" w:rsidP="00F60EBD">
      <w:pPr>
        <w:keepNext/>
        <w:spacing w:line="360" w:lineRule="auto"/>
        <w:jc w:val="right"/>
        <w:rPr>
          <w:rFonts w:ascii="Times New Roman" w:hAnsi="Times New Roman" w:cs="Times New Roman"/>
          <w:color w:val="000000"/>
        </w:rPr>
      </w:pPr>
      <w:r w:rsidRPr="00DB754C">
        <w:rPr>
          <w:rFonts w:ascii="Times New Roman" w:hAnsi="Times New Roman" w:cs="Times New Roman"/>
          <w:noProof/>
          <w:color w:val="000000"/>
          <w:szCs w:val="20"/>
          <w:lang w:val="en-US"/>
        </w:rPr>
        <w:lastRenderedPageBreak/>
        <mc:AlternateContent>
          <mc:Choice Requires="cx1">
            <w:drawing>
              <wp:inline distT="0" distB="0" distL="0" distR="0" wp14:anchorId="39C1E21F" wp14:editId="6DDE1349">
                <wp:extent cx="5943600" cy="3960000"/>
                <wp:effectExtent l="0" t="0" r="0" b="2540"/>
                <wp:docPr id="1" name="Gráfico 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8"/>
                  </a:graphicData>
                </a:graphic>
              </wp:inline>
            </w:drawing>
          </mc:Choice>
          <mc:Fallback>
            <w:drawing>
              <wp:inline distT="0" distB="0" distL="0" distR="0" wp14:anchorId="39C1E21F" wp14:editId="6DDE1349">
                <wp:extent cx="5943600" cy="3960000"/>
                <wp:effectExtent l="0" t="0" r="0" b="2540"/>
                <wp:docPr id="1" name="Gráfico 1"/>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Gráfico 1"/>
                        <pic:cNvPicPr>
                          <a:picLocks noGrp="1" noRot="1" noChangeAspect="1" noMove="1" noResize="1" noEditPoints="1" noAdjustHandles="1" noChangeArrowheads="1" noChangeShapeType="1"/>
                        </pic:cNvPicPr>
                      </pic:nvPicPr>
                      <pic:blipFill>
                        <a:blip r:embed="rId9"/>
                        <a:stretch>
                          <a:fillRect/>
                        </a:stretch>
                      </pic:blipFill>
                      <pic:spPr>
                        <a:xfrm>
                          <a:off x="0" y="0"/>
                          <a:ext cx="5943600" cy="3959860"/>
                        </a:xfrm>
                        <a:prstGeom prst="rect">
                          <a:avLst/>
                        </a:prstGeom>
                      </pic:spPr>
                    </pic:pic>
                  </a:graphicData>
                </a:graphic>
              </wp:inline>
            </w:drawing>
          </mc:Fallback>
        </mc:AlternateContent>
      </w:r>
    </w:p>
    <w:p w14:paraId="46AC028B" w14:textId="0964C50B" w:rsidR="00F60EBD" w:rsidRPr="00DB754C" w:rsidRDefault="00F60EBD" w:rsidP="00F60EBD">
      <w:pPr>
        <w:pStyle w:val="Descripcin"/>
        <w:spacing w:line="360" w:lineRule="auto"/>
        <w:jc w:val="center"/>
        <w:rPr>
          <w:b w:val="0"/>
          <w:color w:val="000000"/>
        </w:rPr>
      </w:pPr>
      <w:bookmarkStart w:id="5" w:name="_Ref106628619"/>
      <w:bookmarkStart w:id="6" w:name="_Toc109756795"/>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1</w:t>
      </w:r>
      <w:r w:rsidRPr="00DB754C">
        <w:rPr>
          <w:b w:val="0"/>
          <w:i/>
          <w:color w:val="000000"/>
        </w:rPr>
        <w:fldChar w:fldCharType="end"/>
      </w:r>
      <w:r w:rsidRPr="00DB754C">
        <w:rPr>
          <w:b w:val="0"/>
          <w:i/>
          <w:color w:val="000000"/>
        </w:rPr>
        <w:t>.</w:t>
      </w:r>
      <w:bookmarkEnd w:id="5"/>
      <w:r w:rsidRPr="00DB754C">
        <w:rPr>
          <w:b w:val="0"/>
          <w:color w:val="000000"/>
        </w:rPr>
        <w:t xml:space="preserve">  </w:t>
      </w:r>
      <w:r w:rsidRPr="00DB754C">
        <w:rPr>
          <w:b w:val="0"/>
          <w:color w:val="000000"/>
          <w:lang w:val="es-CO"/>
        </w:rPr>
        <w:t xml:space="preserve">Diagrama de Pareto para las </w:t>
      </w:r>
      <w:r w:rsidRPr="00DB754C">
        <w:rPr>
          <w:b w:val="0"/>
          <w:color w:val="000000"/>
        </w:rPr>
        <w:t>funciones ocupacionales asociadas las áreas de conocimiento de la ingeniería industrial, Colombia.</w:t>
      </w:r>
      <w:bookmarkEnd w:id="6"/>
      <w:r w:rsidRPr="00DB754C">
        <w:rPr>
          <w:b w:val="0"/>
          <w:color w:val="000000"/>
        </w:rPr>
        <w:t xml:space="preserve"> Elaboración propia.</w:t>
      </w:r>
    </w:p>
    <w:p w14:paraId="656FB44C" w14:textId="77777777" w:rsidR="00F60EBD" w:rsidRPr="00DB754C" w:rsidRDefault="00F60EBD" w:rsidP="00F60EBD">
      <w:pPr>
        <w:rPr>
          <w:color w:val="000000"/>
          <w:lang w:val="es-ES"/>
        </w:rPr>
      </w:pPr>
    </w:p>
    <w:p w14:paraId="4FEA6809" w14:textId="616F3096" w:rsidR="00F60EBD" w:rsidRPr="00DB754C" w:rsidRDefault="00F60EBD" w:rsidP="00F60EBD">
      <w:pPr>
        <w:spacing w:line="360" w:lineRule="auto"/>
        <w:rPr>
          <w:rFonts w:ascii="Times New Roman" w:eastAsiaTheme="minorEastAsia" w:hAnsi="Times New Roman" w:cs="Times New Roman"/>
          <w:color w:val="000000"/>
        </w:rPr>
      </w:pPr>
      <w:r w:rsidRPr="00DB754C">
        <w:rPr>
          <w:rFonts w:ascii="Times New Roman" w:hAnsi="Times New Roman" w:cs="Times New Roman"/>
          <w:color w:val="000000"/>
        </w:rPr>
        <w:t>Para el caso de USA,</w:t>
      </w:r>
      <w:r w:rsidRPr="00DB754C">
        <w:rPr>
          <w:rFonts w:ascii="Times New Roman" w:eastAsiaTheme="minorEastAsia" w:hAnsi="Times New Roman" w:cs="Times New Roman"/>
          <w:color w:val="000000"/>
        </w:rPr>
        <w:t xml:space="preserve"> </w:t>
      </w:r>
      <w:r w:rsidR="00715DCF" w:rsidRPr="00DB754C">
        <w:rPr>
          <w:rFonts w:ascii="Times New Roman" w:eastAsiaTheme="minorEastAsia" w:hAnsi="Times New Roman" w:cs="Times New Roman"/>
          <w:color w:val="000000"/>
        </w:rPr>
        <w:t>es</w:t>
      </w:r>
      <w:r w:rsidRPr="00DB754C">
        <w:rPr>
          <w:rFonts w:ascii="Times New Roman" w:eastAsiaTheme="minorEastAsia" w:hAnsi="Times New Roman" w:cs="Times New Roman"/>
          <w:color w:val="000000"/>
        </w:rPr>
        <w:t xml:space="preserve"> importante aclarar que, debido a la gran cantidad de funciones que se encuentran en esta base de datos, el primer paso fue desechar todas aquellas ocupaciones que llevaran en su nombre palabras como especialista, técnico, magister y operario, reduciendo así la cantidad de cargos de 923 a 166 y las funciones de 23014 a 4343, de las cuales 1381 corresponden a funciones de ocupaciones que podría desempeñar un ingeniero industrial, sin que su perfil sea sobrecalificado o insuficiente. </w:t>
      </w:r>
    </w:p>
    <w:p w14:paraId="01A7DC9D" w14:textId="77777777" w:rsidR="00715DCF" w:rsidRPr="00DB754C" w:rsidRDefault="00715DCF" w:rsidP="00F60EBD">
      <w:pPr>
        <w:spacing w:line="360" w:lineRule="auto"/>
        <w:rPr>
          <w:rFonts w:ascii="Times New Roman" w:eastAsiaTheme="minorEastAsia" w:hAnsi="Times New Roman" w:cs="Times New Roman"/>
          <w:color w:val="000000"/>
        </w:rPr>
      </w:pPr>
    </w:p>
    <w:p w14:paraId="6EA5FD6E" w14:textId="21D0FD2E" w:rsidR="00F60EBD" w:rsidRPr="00DB754C" w:rsidRDefault="00F60EBD" w:rsidP="00F60EBD">
      <w:pPr>
        <w:widowControl w:val="0"/>
        <w:spacing w:line="360" w:lineRule="auto"/>
        <w:rPr>
          <w:rFonts w:ascii="Times New Roman" w:eastAsiaTheme="minorEastAsia" w:hAnsi="Times New Roman" w:cs="Times New Roman"/>
          <w:color w:val="000000"/>
        </w:rPr>
      </w:pPr>
      <w:r w:rsidRPr="00DB754C">
        <w:rPr>
          <w:rFonts w:ascii="Times New Roman" w:eastAsiaTheme="minorEastAsia" w:hAnsi="Times New Roman" w:cs="Times New Roman"/>
          <w:color w:val="000000"/>
        </w:rPr>
        <w:t xml:space="preserve">De este modo, en la </w:t>
      </w:r>
      <w:r w:rsidRPr="00DB754C">
        <w:rPr>
          <w:rFonts w:ascii="Times New Roman" w:eastAsiaTheme="minorEastAsia" w:hAnsi="Times New Roman" w:cs="Times New Roman"/>
          <w:color w:val="000000"/>
        </w:rPr>
        <w:fldChar w:fldCharType="begin"/>
      </w:r>
      <w:r w:rsidRPr="00DB754C">
        <w:rPr>
          <w:rFonts w:ascii="Times New Roman" w:eastAsiaTheme="minorEastAsia" w:hAnsi="Times New Roman" w:cs="Times New Roman"/>
          <w:color w:val="000000"/>
        </w:rPr>
        <w:instrText xml:space="preserve"> REF _Ref106634988 \h  \* MERGEFORMAT </w:instrText>
      </w:r>
      <w:r w:rsidRPr="00DB754C">
        <w:rPr>
          <w:rFonts w:ascii="Times New Roman" w:eastAsiaTheme="minorEastAsia" w:hAnsi="Times New Roman" w:cs="Times New Roman"/>
          <w:color w:val="000000"/>
        </w:rPr>
      </w:r>
      <w:r w:rsidRPr="00DB754C">
        <w:rPr>
          <w:rFonts w:ascii="Times New Roman" w:eastAsiaTheme="minorEastAsia" w:hAnsi="Times New Roman" w:cs="Times New Roman"/>
          <w:color w:val="000000"/>
        </w:rPr>
        <w:fldChar w:fldCharType="separate"/>
      </w:r>
      <w:r w:rsidR="00715DCF" w:rsidRPr="00DB754C">
        <w:rPr>
          <w:rFonts w:ascii="Times New Roman" w:hAnsi="Times New Roman" w:cs="Times New Roman"/>
          <w:color w:val="000000"/>
        </w:rPr>
        <w:t xml:space="preserve">Figura </w:t>
      </w:r>
      <w:r w:rsidR="00715DCF" w:rsidRPr="00DB754C">
        <w:rPr>
          <w:rFonts w:ascii="Times New Roman" w:hAnsi="Times New Roman" w:cs="Times New Roman"/>
          <w:noProof/>
          <w:color w:val="000000"/>
        </w:rPr>
        <w:t>2</w:t>
      </w:r>
      <w:r w:rsidRPr="00DB754C">
        <w:rPr>
          <w:rFonts w:ascii="Times New Roman" w:eastAsiaTheme="minorEastAsia" w:hAnsi="Times New Roman" w:cs="Times New Roman"/>
          <w:color w:val="000000"/>
        </w:rPr>
        <w:fldChar w:fldCharType="end"/>
      </w:r>
      <w:r w:rsidRPr="00DB754C">
        <w:rPr>
          <w:rFonts w:ascii="Times New Roman" w:eastAsiaTheme="minorEastAsia" w:hAnsi="Times New Roman" w:cs="Times New Roman"/>
          <w:color w:val="000000"/>
        </w:rPr>
        <w:t xml:space="preserve"> se muestra que Análisis económico de ingeniería es el área que más funciones ocupacionales contiene con más del 20%, en segundo lugar está la Gestión de recursos humanos con el 12%, en tercer lugar se encuentra Ingeniería y gestión de operaciones con más del 11%, seguida por Gestión de la cadena de suministro, Liderazgo, trabajo en equipo y organización, Enfoque al cliente, Procesos comerciales y Seguridad con 9,41%, 8,98%, 8,83%, 7,31% y 4,78% respectivamente. Lo anterior permite </w:t>
      </w:r>
      <w:r w:rsidRPr="00DB754C">
        <w:rPr>
          <w:rFonts w:ascii="Times New Roman" w:eastAsiaTheme="minorEastAsia" w:hAnsi="Times New Roman" w:cs="Times New Roman"/>
          <w:color w:val="000000"/>
        </w:rPr>
        <w:lastRenderedPageBreak/>
        <w:t>afirmar que el 80% de las funciones ocupacionales del ingeniero industrial en USA están asociadas a este 20% de áreas de conocimiento de la ingeniería industrial.</w:t>
      </w:r>
    </w:p>
    <w:p w14:paraId="698DA334" w14:textId="77777777" w:rsidR="00715DCF" w:rsidRPr="00DB754C" w:rsidRDefault="00715DCF" w:rsidP="00F60EBD">
      <w:pPr>
        <w:widowControl w:val="0"/>
        <w:spacing w:line="360" w:lineRule="auto"/>
        <w:rPr>
          <w:rFonts w:ascii="Times New Roman" w:eastAsiaTheme="minorEastAsia" w:hAnsi="Times New Roman" w:cs="Times New Roman"/>
          <w:color w:val="000000"/>
        </w:rPr>
      </w:pPr>
    </w:p>
    <w:p w14:paraId="302A2914" w14:textId="77777777" w:rsidR="00F60EBD" w:rsidRPr="00DB754C" w:rsidRDefault="00F60EBD" w:rsidP="00F60EBD">
      <w:pPr>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mc:AlternateContent>
          <mc:Choice Requires="cx1">
            <w:drawing>
              <wp:inline distT="0" distB="0" distL="0" distR="0" wp14:anchorId="24A228E3" wp14:editId="4BED2D29">
                <wp:extent cx="5943600" cy="3960000"/>
                <wp:effectExtent l="0" t="0" r="0" b="2540"/>
                <wp:docPr id="15" name="Gráfico 15"/>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0"/>
                  </a:graphicData>
                </a:graphic>
              </wp:inline>
            </w:drawing>
          </mc:Choice>
          <mc:Fallback>
            <w:drawing>
              <wp:inline distT="0" distB="0" distL="0" distR="0" wp14:anchorId="24A228E3" wp14:editId="4BED2D29">
                <wp:extent cx="5943600" cy="3960000"/>
                <wp:effectExtent l="0" t="0" r="0" b="2540"/>
                <wp:docPr id="15" name="Gráfico 15"/>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5" name="Gráfico 15"/>
                        <pic:cNvPicPr>
                          <a:picLocks noGrp="1" noRot="1" noChangeAspect="1" noMove="1" noResize="1" noEditPoints="1" noAdjustHandles="1" noChangeArrowheads="1" noChangeShapeType="1"/>
                        </pic:cNvPicPr>
                      </pic:nvPicPr>
                      <pic:blipFill>
                        <a:blip r:embed="rId11"/>
                        <a:stretch>
                          <a:fillRect/>
                        </a:stretch>
                      </pic:blipFill>
                      <pic:spPr>
                        <a:xfrm>
                          <a:off x="0" y="0"/>
                          <a:ext cx="5943600" cy="3959860"/>
                        </a:xfrm>
                        <a:prstGeom prst="rect">
                          <a:avLst/>
                        </a:prstGeom>
                      </pic:spPr>
                    </pic:pic>
                  </a:graphicData>
                </a:graphic>
              </wp:inline>
            </w:drawing>
          </mc:Fallback>
        </mc:AlternateContent>
      </w:r>
    </w:p>
    <w:p w14:paraId="4EB34E28" w14:textId="79C17EB6" w:rsidR="00F60EBD" w:rsidRPr="00DB754C" w:rsidRDefault="00F60EBD" w:rsidP="00715DCF">
      <w:pPr>
        <w:pStyle w:val="Descripcin"/>
        <w:spacing w:line="360" w:lineRule="auto"/>
        <w:jc w:val="center"/>
        <w:rPr>
          <w:b w:val="0"/>
          <w:color w:val="000000"/>
        </w:rPr>
      </w:pPr>
      <w:bookmarkStart w:id="7" w:name="_Ref106634988"/>
      <w:bookmarkStart w:id="8" w:name="_Toc109756796"/>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00715DCF" w:rsidRPr="00DB754C">
        <w:rPr>
          <w:b w:val="0"/>
          <w:i/>
          <w:noProof/>
          <w:color w:val="000000"/>
        </w:rPr>
        <w:t>2</w:t>
      </w:r>
      <w:r w:rsidRPr="00DB754C">
        <w:rPr>
          <w:b w:val="0"/>
          <w:i/>
          <w:color w:val="000000"/>
        </w:rPr>
        <w:fldChar w:fldCharType="end"/>
      </w:r>
      <w:r w:rsidRPr="00DB754C">
        <w:rPr>
          <w:b w:val="0"/>
          <w:i/>
          <w:color w:val="000000"/>
        </w:rPr>
        <w:t>.</w:t>
      </w:r>
      <w:bookmarkEnd w:id="7"/>
      <w:r w:rsidRPr="00DB754C">
        <w:rPr>
          <w:b w:val="0"/>
          <w:color w:val="000000"/>
        </w:rPr>
        <w:t xml:space="preserve"> </w:t>
      </w:r>
      <w:r w:rsidR="00715DCF" w:rsidRPr="00DB754C">
        <w:rPr>
          <w:b w:val="0"/>
          <w:color w:val="000000"/>
        </w:rPr>
        <w:t xml:space="preserve"> </w:t>
      </w:r>
      <w:r w:rsidRPr="00DB754C">
        <w:rPr>
          <w:b w:val="0"/>
          <w:color w:val="000000"/>
          <w:lang w:val="es-CO"/>
        </w:rPr>
        <w:t xml:space="preserve">Diagrama de Pareto para las </w:t>
      </w:r>
      <w:r w:rsidRPr="00DB754C">
        <w:rPr>
          <w:b w:val="0"/>
          <w:color w:val="000000"/>
        </w:rPr>
        <w:t>funciones ocupacionales asociadas a las áreas de conocimiento de la ingeniería industrial, USA.</w:t>
      </w:r>
      <w:bookmarkEnd w:id="8"/>
      <w:r w:rsidR="00715DCF" w:rsidRPr="00DB754C">
        <w:rPr>
          <w:b w:val="0"/>
          <w:color w:val="000000"/>
        </w:rPr>
        <w:t xml:space="preserve"> Elaboración propia.</w:t>
      </w:r>
    </w:p>
    <w:p w14:paraId="5F048431" w14:textId="77777777" w:rsidR="00715DCF" w:rsidRPr="00DB754C" w:rsidRDefault="00715DCF" w:rsidP="00715DCF">
      <w:pPr>
        <w:rPr>
          <w:color w:val="000000"/>
          <w:lang w:val="es-ES"/>
        </w:rPr>
      </w:pPr>
    </w:p>
    <w:p w14:paraId="4FCA3F27" w14:textId="05E97877" w:rsidR="00F60EBD" w:rsidRPr="00DB754C" w:rsidRDefault="00F60EBD" w:rsidP="00F60EBD">
      <w:pPr>
        <w:spacing w:line="360" w:lineRule="auto"/>
        <w:rPr>
          <w:rFonts w:ascii="Times New Roman" w:hAnsi="Times New Roman" w:cs="Times New Roman"/>
          <w:color w:val="000000"/>
        </w:rPr>
      </w:pPr>
      <w:r w:rsidRPr="00DB754C">
        <w:rPr>
          <w:rFonts w:ascii="Times New Roman" w:eastAsiaTheme="minorEastAsia" w:hAnsi="Times New Roman" w:cs="Times New Roman"/>
          <w:color w:val="000000"/>
        </w:rPr>
        <w:t>Así las cosas</w:t>
      </w:r>
      <w:r w:rsidRPr="00DB754C">
        <w:rPr>
          <w:rFonts w:ascii="Times New Roman" w:hAnsi="Times New Roman" w:cs="Times New Roman"/>
          <w:color w:val="000000"/>
        </w:rPr>
        <w:t xml:space="preserve">, 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_Ref106637539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00715DCF" w:rsidRPr="00DB754C">
        <w:rPr>
          <w:rFonts w:ascii="Times New Roman" w:hAnsi="Times New Roman" w:cs="Times New Roman"/>
          <w:color w:val="000000"/>
        </w:rPr>
        <w:t xml:space="preserve">Figura </w:t>
      </w:r>
      <w:r w:rsidR="00715DCF" w:rsidRPr="00DB754C">
        <w:rPr>
          <w:rFonts w:ascii="Times New Roman" w:hAnsi="Times New Roman" w:cs="Times New Roman"/>
          <w:noProof/>
          <w:color w:val="000000"/>
        </w:rPr>
        <w:t>3</w:t>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se observan diferencias en cuanto a las áreas de conocimiento más relevantes para cada uno de los países. En USA se encontró el Análisis económico de ingeniería, un área administrativa y financiera, como el área más relevante, mientras que para el caso de Colombia se tiene un área más operacional como la ingeniería y gestión de operaciones.</w:t>
      </w:r>
    </w:p>
    <w:p w14:paraId="1CE5A738" w14:textId="77777777" w:rsidR="00F60EBD" w:rsidRPr="00DB754C" w:rsidRDefault="00F60EBD" w:rsidP="00F60EBD">
      <w:pPr>
        <w:keepNext/>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w:lastRenderedPageBreak/>
        <w:drawing>
          <wp:inline distT="0" distB="0" distL="0" distR="0" wp14:anchorId="3EEA5E2D" wp14:editId="6CC4C9F7">
            <wp:extent cx="5904000" cy="3960000"/>
            <wp:effectExtent l="0" t="0" r="1905" b="254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86D88E0" w14:textId="110DF814" w:rsidR="00F60EBD" w:rsidRPr="00DB754C" w:rsidRDefault="00F60EBD" w:rsidP="00715DCF">
      <w:pPr>
        <w:pStyle w:val="Descripcin"/>
        <w:spacing w:line="360" w:lineRule="auto"/>
        <w:jc w:val="center"/>
        <w:rPr>
          <w:b w:val="0"/>
          <w:color w:val="000000"/>
        </w:rPr>
      </w:pPr>
      <w:bookmarkStart w:id="9" w:name="_Ref106637539"/>
      <w:bookmarkStart w:id="10" w:name="_Toc109756797"/>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00715DCF" w:rsidRPr="00DB754C">
        <w:rPr>
          <w:b w:val="0"/>
          <w:i/>
          <w:noProof/>
          <w:color w:val="000000"/>
        </w:rPr>
        <w:t>3</w:t>
      </w:r>
      <w:r w:rsidRPr="00DB754C">
        <w:rPr>
          <w:b w:val="0"/>
          <w:i/>
          <w:color w:val="000000"/>
        </w:rPr>
        <w:fldChar w:fldCharType="end"/>
      </w:r>
      <w:r w:rsidRPr="00DB754C">
        <w:rPr>
          <w:b w:val="0"/>
          <w:i/>
          <w:color w:val="000000"/>
        </w:rPr>
        <w:t>.</w:t>
      </w:r>
      <w:bookmarkEnd w:id="9"/>
      <w:r w:rsidRPr="00DB754C">
        <w:rPr>
          <w:b w:val="0"/>
          <w:color w:val="000000"/>
        </w:rPr>
        <w:t xml:space="preserve"> </w:t>
      </w:r>
      <w:r w:rsidR="00715DCF" w:rsidRPr="00DB754C">
        <w:rPr>
          <w:b w:val="0"/>
          <w:color w:val="000000"/>
        </w:rPr>
        <w:t xml:space="preserve"> </w:t>
      </w:r>
      <w:r w:rsidRPr="00DB754C">
        <w:rPr>
          <w:b w:val="0"/>
          <w:color w:val="000000"/>
        </w:rPr>
        <w:t>Funciones ocupacionales asociadas a las áreas de conocimiento de la ingeniería industrial, Colombia y USA.</w:t>
      </w:r>
      <w:bookmarkEnd w:id="10"/>
      <w:r w:rsidR="00715DCF" w:rsidRPr="00DB754C">
        <w:rPr>
          <w:b w:val="0"/>
          <w:color w:val="000000"/>
        </w:rPr>
        <w:t xml:space="preserve"> Elaboración propia.</w:t>
      </w:r>
    </w:p>
    <w:p w14:paraId="5FF2C75E" w14:textId="77777777" w:rsidR="00715DCF" w:rsidRPr="00DB754C" w:rsidRDefault="00715DCF" w:rsidP="00715DCF">
      <w:pPr>
        <w:rPr>
          <w:color w:val="000000"/>
          <w:lang w:val="es-ES"/>
        </w:rPr>
      </w:pPr>
    </w:p>
    <w:p w14:paraId="4D28D5E9" w14:textId="68BF2340" w:rsidR="00F60EBD" w:rsidRPr="00DB754C" w:rsidRDefault="00F60EBD" w:rsidP="00F60EBD">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_Ref106637539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00715DCF" w:rsidRPr="00DB754C">
        <w:rPr>
          <w:rFonts w:ascii="Times New Roman" w:hAnsi="Times New Roman" w:cs="Times New Roman"/>
          <w:color w:val="000000"/>
        </w:rPr>
        <w:t xml:space="preserve">Figura </w:t>
      </w:r>
      <w:r w:rsidR="00715DCF" w:rsidRPr="00DB754C">
        <w:rPr>
          <w:rFonts w:ascii="Times New Roman" w:hAnsi="Times New Roman" w:cs="Times New Roman"/>
          <w:noProof/>
          <w:color w:val="000000"/>
        </w:rPr>
        <w:t>3</w:t>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también se evidencian similitudes entre los dos países, por ejemplo, la alta relevancia que tiene Gestión de recursos humanos y las pocas funciones asociadas a áreas como Diseño y desarrollo de productos, Diseño y medición del trabajo, Recursos y responsabilidad, Investigación y análisis de operaciones, Ergonomía y factores humanos, Ingeniería de diseño y fabricación, Sistemas de conocimiento compartido y Diseño e ingeniería de sistemas. </w:t>
      </w:r>
    </w:p>
    <w:p w14:paraId="07B84D08" w14:textId="77777777" w:rsidR="00715DCF" w:rsidRPr="00DB754C" w:rsidRDefault="00715DCF" w:rsidP="00F60EBD">
      <w:pPr>
        <w:spacing w:line="360" w:lineRule="auto"/>
        <w:rPr>
          <w:rFonts w:ascii="Times New Roman" w:hAnsi="Times New Roman" w:cs="Times New Roman"/>
          <w:color w:val="000000"/>
        </w:rPr>
      </w:pPr>
    </w:p>
    <w:p w14:paraId="32A331FF" w14:textId="77777777" w:rsidR="00F60EBD" w:rsidRPr="00DB754C" w:rsidRDefault="00F60EBD" w:rsidP="00F60EBD">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De estas áreas se tiene en común que actualmente existen técnicos, tecnólogos o profesionales relacionados con la ingeniería de sistemas, ergonomía, ingeniería de desarrollo de producto, matemáticos, entre otros, que se dedican exclusivamente a cumplir las funciones propias de las áreas de conocimiento mencionadas. </w:t>
      </w:r>
    </w:p>
    <w:p w14:paraId="5BF13055" w14:textId="3629D7C6" w:rsidR="00F60EBD" w:rsidRPr="00DB754C" w:rsidRDefault="00F60EBD" w:rsidP="00F60EBD">
      <w:pPr>
        <w:spacing w:line="360" w:lineRule="auto"/>
        <w:rPr>
          <w:rFonts w:ascii="Times New Roman" w:hAnsi="Times New Roman" w:cs="Times New Roman"/>
          <w:color w:val="000000"/>
        </w:rPr>
      </w:pPr>
    </w:p>
    <w:p w14:paraId="7BFE6308" w14:textId="36951CDE" w:rsidR="00715DCF" w:rsidRPr="00DB754C" w:rsidRDefault="00715DCF" w:rsidP="00715DCF">
      <w:pPr>
        <w:widowControl w:val="0"/>
        <w:spacing w:line="360" w:lineRule="auto"/>
        <w:rPr>
          <w:rFonts w:ascii="Times New Roman" w:eastAsiaTheme="minorEastAsia" w:hAnsi="Times New Roman" w:cs="Times New Roman"/>
          <w:color w:val="000000"/>
        </w:rPr>
      </w:pPr>
      <w:r w:rsidRPr="00DB754C">
        <w:rPr>
          <w:rFonts w:ascii="Times New Roman" w:hAnsi="Times New Roman" w:cs="Times New Roman"/>
          <w:color w:val="000000"/>
        </w:rPr>
        <w:t>Por otra parte, en cuanto a las ocupaciones o cargos, e</w:t>
      </w:r>
      <w:r w:rsidRPr="00DB754C">
        <w:rPr>
          <w:rFonts w:ascii="Times New Roman" w:eastAsiaTheme="minorEastAsia" w:hAnsi="Times New Roman" w:cs="Times New Roman"/>
          <w:color w:val="000000"/>
        </w:rPr>
        <w:t xml:space="preserve">n la </w:t>
      </w:r>
      <w:r w:rsidRPr="00DB754C">
        <w:rPr>
          <w:rFonts w:ascii="Times New Roman" w:eastAsiaTheme="minorEastAsia" w:hAnsi="Times New Roman" w:cs="Times New Roman"/>
          <w:color w:val="000000"/>
        </w:rPr>
        <w:fldChar w:fldCharType="begin"/>
      </w:r>
      <w:r w:rsidRPr="00DB754C">
        <w:rPr>
          <w:rFonts w:ascii="Times New Roman" w:eastAsiaTheme="minorEastAsia" w:hAnsi="Times New Roman" w:cs="Times New Roman"/>
          <w:color w:val="000000"/>
        </w:rPr>
        <w:instrText xml:space="preserve"> REF _Ref107227626 \h  \* MERGEFORMAT </w:instrText>
      </w:r>
      <w:r w:rsidRPr="00DB754C">
        <w:rPr>
          <w:rFonts w:ascii="Times New Roman" w:eastAsiaTheme="minorEastAsia" w:hAnsi="Times New Roman" w:cs="Times New Roman"/>
          <w:color w:val="000000"/>
        </w:rPr>
      </w:r>
      <w:r w:rsidRPr="00DB754C">
        <w:rPr>
          <w:rFonts w:ascii="Times New Roman" w:eastAsiaTheme="minorEastAsia" w:hAnsi="Times New Roman" w:cs="Times New Roman"/>
          <w:color w:val="000000"/>
        </w:rPr>
        <w:fldChar w:fldCharType="separate"/>
      </w:r>
      <w:r w:rsidRPr="00DB754C">
        <w:rPr>
          <w:rFonts w:ascii="Times New Roman" w:hAnsi="Times New Roman" w:cs="Times New Roman"/>
          <w:color w:val="000000"/>
        </w:rPr>
        <w:t xml:space="preserve">Figura </w:t>
      </w:r>
      <w:r w:rsidRPr="00DB754C">
        <w:rPr>
          <w:rFonts w:ascii="Times New Roman" w:hAnsi="Times New Roman" w:cs="Times New Roman"/>
          <w:noProof/>
          <w:color w:val="000000"/>
        </w:rPr>
        <w:t>4</w:t>
      </w:r>
      <w:r w:rsidRPr="00DB754C">
        <w:rPr>
          <w:rFonts w:ascii="Times New Roman" w:eastAsiaTheme="minorEastAsia" w:hAnsi="Times New Roman" w:cs="Times New Roman"/>
          <w:color w:val="000000"/>
        </w:rPr>
        <w:fldChar w:fldCharType="end"/>
      </w:r>
      <w:r w:rsidRPr="00DB754C">
        <w:rPr>
          <w:rFonts w:ascii="Times New Roman" w:eastAsiaTheme="minorEastAsia" w:hAnsi="Times New Roman" w:cs="Times New Roman"/>
          <w:color w:val="000000"/>
        </w:rPr>
        <w:fldChar w:fldCharType="begin"/>
      </w:r>
      <w:r w:rsidRPr="00DB754C">
        <w:rPr>
          <w:rFonts w:ascii="Times New Roman" w:eastAsiaTheme="minorEastAsia" w:hAnsi="Times New Roman" w:cs="Times New Roman"/>
          <w:color w:val="000000"/>
        </w:rPr>
        <w:instrText xml:space="preserve"> REF _Ref106634988 \h  \* MERGEFORMAT </w:instrText>
      </w:r>
      <w:r w:rsidRPr="00DB754C">
        <w:rPr>
          <w:rFonts w:ascii="Times New Roman" w:eastAsiaTheme="minorEastAsia" w:hAnsi="Times New Roman" w:cs="Times New Roman"/>
          <w:color w:val="000000"/>
        </w:rPr>
      </w:r>
      <w:r w:rsidRPr="00DB754C">
        <w:rPr>
          <w:rFonts w:ascii="Times New Roman" w:eastAsiaTheme="minorEastAsia" w:hAnsi="Times New Roman" w:cs="Times New Roman"/>
          <w:color w:val="000000"/>
        </w:rPr>
        <w:fldChar w:fldCharType="end"/>
      </w:r>
      <w:r w:rsidRPr="00DB754C">
        <w:rPr>
          <w:rFonts w:ascii="Times New Roman" w:eastAsiaTheme="minorEastAsia" w:hAnsi="Times New Roman" w:cs="Times New Roman"/>
          <w:color w:val="000000"/>
        </w:rPr>
        <w:t xml:space="preserve"> se muestra que, para </w:t>
      </w:r>
      <w:r w:rsidRPr="00DB754C">
        <w:rPr>
          <w:rFonts w:ascii="Times New Roman" w:eastAsiaTheme="minorEastAsia" w:hAnsi="Times New Roman" w:cs="Times New Roman"/>
          <w:color w:val="000000"/>
        </w:rPr>
        <w:lastRenderedPageBreak/>
        <w:t>Colombia, la Ingeniería y gestión de operaciones es el área que más ocupaciones acoge con más del 43%, en segundo lugar está la Gestión estratégica con el 16% de los cargos, en tercer lugar se encuentra Ingeniería de calidad y confiabilidad con el 8%, seguida por Análisis económico de ingeniería y Gestión de recursos humanos con el 6% cada una. Lo anterior permite afirmar que el 80% de las ocupaciones del ingeniero industrial en Colombia están asociadas a este 20% de áreas de conocimiento.</w:t>
      </w:r>
    </w:p>
    <w:p w14:paraId="11814326" w14:textId="77777777" w:rsidR="00715DCF" w:rsidRPr="00DB754C" w:rsidRDefault="00715DCF" w:rsidP="00715DCF">
      <w:pPr>
        <w:widowControl w:val="0"/>
        <w:spacing w:line="360" w:lineRule="auto"/>
        <w:rPr>
          <w:rFonts w:ascii="Times New Roman" w:eastAsiaTheme="minorEastAsia" w:hAnsi="Times New Roman" w:cs="Times New Roman"/>
          <w:color w:val="000000"/>
        </w:rPr>
      </w:pPr>
    </w:p>
    <w:p w14:paraId="72E74C58" w14:textId="77777777" w:rsidR="00715DCF" w:rsidRPr="00DB754C" w:rsidRDefault="00715DCF" w:rsidP="00715DCF">
      <w:pPr>
        <w:keepNext/>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mc:AlternateContent>
          <mc:Choice Requires="cx1">
            <w:drawing>
              <wp:inline distT="0" distB="0" distL="0" distR="0" wp14:anchorId="1AB6959E" wp14:editId="58C6A852">
                <wp:extent cx="5943600" cy="3960000"/>
                <wp:effectExtent l="0" t="0" r="0" b="2540"/>
                <wp:docPr id="17" name="Gráfico 17"/>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3"/>
                  </a:graphicData>
                </a:graphic>
              </wp:inline>
            </w:drawing>
          </mc:Choice>
          <mc:Fallback>
            <w:drawing>
              <wp:inline distT="0" distB="0" distL="0" distR="0" wp14:anchorId="1AB6959E" wp14:editId="58C6A852">
                <wp:extent cx="5943600" cy="3960000"/>
                <wp:effectExtent l="0" t="0" r="0" b="2540"/>
                <wp:docPr id="17" name="Gráfico 17"/>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7" name="Gráfico 17"/>
                        <pic:cNvPicPr>
                          <a:picLocks noGrp="1" noRot="1" noChangeAspect="1" noMove="1" noResize="1" noEditPoints="1" noAdjustHandles="1" noChangeArrowheads="1" noChangeShapeType="1"/>
                        </pic:cNvPicPr>
                      </pic:nvPicPr>
                      <pic:blipFill>
                        <a:blip r:embed="rId14"/>
                        <a:stretch>
                          <a:fillRect/>
                        </a:stretch>
                      </pic:blipFill>
                      <pic:spPr>
                        <a:xfrm>
                          <a:off x="0" y="0"/>
                          <a:ext cx="5943600" cy="3959860"/>
                        </a:xfrm>
                        <a:prstGeom prst="rect">
                          <a:avLst/>
                        </a:prstGeom>
                      </pic:spPr>
                    </pic:pic>
                  </a:graphicData>
                </a:graphic>
              </wp:inline>
            </w:drawing>
          </mc:Fallback>
        </mc:AlternateContent>
      </w:r>
    </w:p>
    <w:p w14:paraId="043713B4" w14:textId="24E35A64" w:rsidR="00715DCF" w:rsidRPr="00DB754C" w:rsidRDefault="00715DCF" w:rsidP="00715DCF">
      <w:pPr>
        <w:pStyle w:val="Descripcin"/>
        <w:spacing w:line="360" w:lineRule="auto"/>
        <w:jc w:val="center"/>
        <w:rPr>
          <w:b w:val="0"/>
          <w:color w:val="000000"/>
        </w:rPr>
      </w:pPr>
      <w:bookmarkStart w:id="11" w:name="_Ref107227626"/>
      <w:bookmarkStart w:id="12" w:name="_Toc109756798"/>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4</w:t>
      </w:r>
      <w:r w:rsidRPr="00DB754C">
        <w:rPr>
          <w:b w:val="0"/>
          <w:i/>
          <w:color w:val="000000"/>
        </w:rPr>
        <w:fldChar w:fldCharType="end"/>
      </w:r>
      <w:bookmarkEnd w:id="11"/>
      <w:r w:rsidRPr="00DB754C">
        <w:rPr>
          <w:b w:val="0"/>
          <w:i/>
          <w:color w:val="000000"/>
        </w:rPr>
        <w:t>.</w:t>
      </w:r>
      <w:r w:rsidRPr="00DB754C">
        <w:rPr>
          <w:b w:val="0"/>
          <w:color w:val="000000"/>
        </w:rPr>
        <w:t xml:space="preserve">  Ocupaciones asociadas a las áreas de conocimiento de la ingeniería industrial, Colombia.</w:t>
      </w:r>
      <w:bookmarkEnd w:id="12"/>
      <w:r w:rsidRPr="00DB754C">
        <w:rPr>
          <w:b w:val="0"/>
          <w:color w:val="000000"/>
        </w:rPr>
        <w:t xml:space="preserve"> Elaboración propia.</w:t>
      </w:r>
    </w:p>
    <w:p w14:paraId="410F663A" w14:textId="77777777" w:rsidR="00CF09D3" w:rsidRPr="00DB754C" w:rsidRDefault="00CF09D3" w:rsidP="00CF09D3">
      <w:pPr>
        <w:rPr>
          <w:color w:val="000000"/>
          <w:lang w:val="es-ES"/>
        </w:rPr>
      </w:pPr>
    </w:p>
    <w:p w14:paraId="4FFB8B19" w14:textId="44B58650" w:rsidR="00715DCF" w:rsidRPr="00DB754C" w:rsidRDefault="00715DCF" w:rsidP="007C3CB8">
      <w:pPr>
        <w:spacing w:line="360" w:lineRule="auto"/>
        <w:rPr>
          <w:rFonts w:ascii="Times New Roman" w:hAnsi="Times New Roman" w:cs="Times New Roman"/>
          <w:color w:val="000000"/>
        </w:rPr>
      </w:pPr>
      <w:r w:rsidRPr="00DB754C">
        <w:rPr>
          <w:rFonts w:ascii="Times New Roman" w:hAnsi="Times New Roman" w:cs="Times New Roman"/>
          <w:color w:val="000000"/>
        </w:rPr>
        <w:t>Para el caso de USA, en l</w:t>
      </w:r>
      <w:r w:rsidR="00CF09D3" w:rsidRPr="00DB754C">
        <w:rPr>
          <w:rFonts w:ascii="Times New Roman" w:hAnsi="Times New Roman" w:cs="Times New Roman"/>
          <w:color w:val="000000"/>
        </w:rPr>
        <w:t>a</w:t>
      </w:r>
      <w:r w:rsidRPr="00DB754C">
        <w:rPr>
          <w:rFonts w:ascii="Times New Roman" w:hAnsi="Times New Roman" w:cs="Times New Roman"/>
          <w:color w:val="000000"/>
        </w:rPr>
        <w:t xml:space="preserve">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_Ref108856615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00CF09D3" w:rsidRPr="00DB754C">
        <w:rPr>
          <w:rFonts w:ascii="Times New Roman" w:hAnsi="Times New Roman" w:cs="Times New Roman"/>
          <w:color w:val="000000"/>
        </w:rPr>
        <w:t xml:space="preserve">Figura </w:t>
      </w:r>
      <w:r w:rsidR="00CF09D3" w:rsidRPr="00DB754C">
        <w:rPr>
          <w:rFonts w:ascii="Times New Roman" w:hAnsi="Times New Roman" w:cs="Times New Roman"/>
          <w:noProof/>
          <w:color w:val="000000"/>
        </w:rPr>
        <w:t>5</w:t>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se </w:t>
      </w:r>
      <w:r w:rsidRPr="00DB754C">
        <w:rPr>
          <w:rFonts w:ascii="Times New Roman" w:eastAsiaTheme="minorEastAsia" w:hAnsi="Times New Roman" w:cs="Times New Roman"/>
          <w:color w:val="000000"/>
        </w:rPr>
        <w:t xml:space="preserve">muestra que el Análisis económico de ingeniería es el área que más ocupaciones acoge con el 25%, en segundo lugar está la Ingeniería y gestión de operaciones con el 15% de los cargos, en tercer lugar se encuentra Gestión de la cadena de suministro con el 12%, seguida por Enfoque al cliente y Gestión de recursos humanos con el 12% y 11% respectivamente. Lo anterior permite afirmar que el 80% de las </w:t>
      </w:r>
      <w:r w:rsidRPr="00DB754C">
        <w:rPr>
          <w:rFonts w:ascii="Times New Roman" w:eastAsiaTheme="minorEastAsia" w:hAnsi="Times New Roman" w:cs="Times New Roman"/>
          <w:color w:val="000000"/>
        </w:rPr>
        <w:lastRenderedPageBreak/>
        <w:t>ocupaciones del ingeniero industrial en Colombia están asociadas a este 20% de áreas de conocimiento.</w:t>
      </w:r>
    </w:p>
    <w:p w14:paraId="306F523E" w14:textId="77777777" w:rsidR="00715DCF" w:rsidRPr="00DB754C" w:rsidRDefault="00715DCF" w:rsidP="00715DCF">
      <w:pPr>
        <w:spacing w:line="360" w:lineRule="auto"/>
        <w:jc w:val="center"/>
        <w:rPr>
          <w:rFonts w:ascii="Times New Roman" w:eastAsia="Times New Roman" w:hAnsi="Times New Roman" w:cs="Times New Roman"/>
          <w:b/>
          <w:bCs/>
          <w:color w:val="000000"/>
        </w:rPr>
      </w:pPr>
    </w:p>
    <w:p w14:paraId="39B2EC6A" w14:textId="77777777" w:rsidR="00715DCF" w:rsidRPr="00DB754C" w:rsidRDefault="00715DCF" w:rsidP="00715DCF">
      <w:pPr>
        <w:keepNext/>
        <w:spacing w:line="360" w:lineRule="auto"/>
        <w:jc w:val="center"/>
        <w:rPr>
          <w:rFonts w:ascii="Times New Roman" w:hAnsi="Times New Roman" w:cs="Times New Roman"/>
          <w:color w:val="000000"/>
        </w:rPr>
      </w:pPr>
      <w:r w:rsidRPr="00DB754C">
        <w:rPr>
          <w:rFonts w:ascii="Times New Roman" w:hAnsi="Times New Roman" w:cs="Times New Roman"/>
          <w:noProof/>
          <w:color w:val="000000"/>
          <w:lang w:val="en-US"/>
        </w:rPr>
        <mc:AlternateContent>
          <mc:Choice Requires="cx1">
            <w:drawing>
              <wp:inline distT="0" distB="0" distL="0" distR="0" wp14:anchorId="51EC72E9" wp14:editId="50E7C990">
                <wp:extent cx="5943600" cy="3960000"/>
                <wp:effectExtent l="0" t="0" r="0" b="2540"/>
                <wp:docPr id="18" name="Gráfico 18"/>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5"/>
                  </a:graphicData>
                </a:graphic>
              </wp:inline>
            </w:drawing>
          </mc:Choice>
          <mc:Fallback>
            <w:drawing>
              <wp:inline distT="0" distB="0" distL="0" distR="0" wp14:anchorId="51EC72E9" wp14:editId="50E7C990">
                <wp:extent cx="5943600" cy="3960000"/>
                <wp:effectExtent l="0" t="0" r="0" b="2540"/>
                <wp:docPr id="18" name="Gráfico 18"/>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8" name="Gráfico 18"/>
                        <pic:cNvPicPr>
                          <a:picLocks noGrp="1" noRot="1" noChangeAspect="1" noMove="1" noResize="1" noEditPoints="1" noAdjustHandles="1" noChangeArrowheads="1" noChangeShapeType="1"/>
                        </pic:cNvPicPr>
                      </pic:nvPicPr>
                      <pic:blipFill>
                        <a:blip r:embed="rId16"/>
                        <a:stretch>
                          <a:fillRect/>
                        </a:stretch>
                      </pic:blipFill>
                      <pic:spPr>
                        <a:xfrm>
                          <a:off x="0" y="0"/>
                          <a:ext cx="5943600" cy="3959860"/>
                        </a:xfrm>
                        <a:prstGeom prst="rect">
                          <a:avLst/>
                        </a:prstGeom>
                      </pic:spPr>
                    </pic:pic>
                  </a:graphicData>
                </a:graphic>
              </wp:inline>
            </w:drawing>
          </mc:Fallback>
        </mc:AlternateContent>
      </w:r>
    </w:p>
    <w:p w14:paraId="32889BBD" w14:textId="293D9B9A" w:rsidR="00715DCF" w:rsidRPr="00DB754C" w:rsidRDefault="00715DCF" w:rsidP="00CF09D3">
      <w:pPr>
        <w:pStyle w:val="Descripcin"/>
        <w:spacing w:line="360" w:lineRule="auto"/>
        <w:jc w:val="center"/>
        <w:rPr>
          <w:b w:val="0"/>
          <w:color w:val="000000"/>
        </w:rPr>
      </w:pPr>
      <w:bookmarkStart w:id="13" w:name="_Ref108856615"/>
      <w:bookmarkStart w:id="14" w:name="_Toc109756799"/>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5</w:t>
      </w:r>
      <w:r w:rsidRPr="00DB754C">
        <w:rPr>
          <w:b w:val="0"/>
          <w:i/>
          <w:color w:val="000000"/>
        </w:rPr>
        <w:fldChar w:fldCharType="end"/>
      </w:r>
      <w:bookmarkEnd w:id="13"/>
      <w:r w:rsidRPr="00DB754C">
        <w:rPr>
          <w:b w:val="0"/>
          <w:i/>
          <w:color w:val="000000"/>
        </w:rPr>
        <w:t>.</w:t>
      </w:r>
      <w:r w:rsidRPr="00DB754C">
        <w:rPr>
          <w:b w:val="0"/>
          <w:color w:val="000000"/>
        </w:rPr>
        <w:t xml:space="preserve"> Ocupaciones asociadas a las áreas de conocimiento de la ingeniería industrial, USA.</w:t>
      </w:r>
      <w:bookmarkEnd w:id="14"/>
      <w:r w:rsidR="00CF09D3" w:rsidRPr="00DB754C">
        <w:rPr>
          <w:b w:val="0"/>
          <w:color w:val="000000"/>
        </w:rPr>
        <w:t xml:space="preserve"> Elaboración propia.</w:t>
      </w:r>
    </w:p>
    <w:p w14:paraId="3B873E22" w14:textId="77777777" w:rsidR="00CF09D3" w:rsidRPr="00DB754C" w:rsidRDefault="00CF09D3" w:rsidP="00CF09D3">
      <w:pPr>
        <w:rPr>
          <w:color w:val="000000"/>
          <w:lang w:val="es-ES"/>
        </w:rPr>
      </w:pPr>
    </w:p>
    <w:p w14:paraId="3DCB6625" w14:textId="2F4297C7" w:rsidR="00715DCF" w:rsidRPr="00DB754C" w:rsidRDefault="00715DCF" w:rsidP="00715DCF">
      <w:pPr>
        <w:widowControl w:val="0"/>
        <w:spacing w:line="360" w:lineRule="auto"/>
        <w:rPr>
          <w:rFonts w:ascii="Times New Roman" w:hAnsi="Times New Roman" w:cs="Times New Roman"/>
          <w:color w:val="000000"/>
        </w:rPr>
      </w:pPr>
      <w:r w:rsidRPr="00DB754C">
        <w:rPr>
          <w:rFonts w:ascii="Times New Roman" w:eastAsiaTheme="minorEastAsia" w:hAnsi="Times New Roman" w:cs="Times New Roman"/>
          <w:color w:val="000000"/>
        </w:rPr>
        <w:t>Adicionalmente</w:t>
      </w:r>
      <w:r w:rsidRPr="00DB754C">
        <w:rPr>
          <w:rFonts w:ascii="Times New Roman" w:hAnsi="Times New Roman" w:cs="Times New Roman"/>
          <w:color w:val="000000"/>
        </w:rPr>
        <w:t xml:space="preserve">, 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_Ref108857625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00CF09D3" w:rsidRPr="00DB754C">
        <w:rPr>
          <w:rFonts w:ascii="Times New Roman" w:hAnsi="Times New Roman" w:cs="Times New Roman"/>
          <w:color w:val="000000"/>
        </w:rPr>
        <w:t xml:space="preserve">Figura </w:t>
      </w:r>
      <w:r w:rsidR="00CF09D3" w:rsidRPr="00DB754C">
        <w:rPr>
          <w:rFonts w:ascii="Times New Roman" w:hAnsi="Times New Roman" w:cs="Times New Roman"/>
          <w:noProof/>
          <w:color w:val="000000"/>
        </w:rPr>
        <w:t>6</w:t>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se puede apreciar las similitudes y diferencias entre los dos países. Al igual que en la clasificación por funciones, se tiene que para USA es más relevante el Análisis económico de ingeniería, seguido por la Ingeniería y gestión de operaciones que, en este caso, es el área más relevante para Colombia. A pesar de las diferencias, se tiene que el área más relevante para un país se encuentra en el top 5 de áreas más relevantes del otro país, por lo que se puede concluir que estas dos áreas de la ingería industrial, junto con Gestión de recursos humanos tienen una relevancia importante en el desempeño de la ingeniería industrial en los dos países.</w:t>
      </w:r>
    </w:p>
    <w:p w14:paraId="28C577C6" w14:textId="77777777" w:rsidR="00CF09D3" w:rsidRPr="00DB754C" w:rsidRDefault="00CF09D3" w:rsidP="00715DCF">
      <w:pPr>
        <w:widowControl w:val="0"/>
        <w:spacing w:line="360" w:lineRule="auto"/>
        <w:rPr>
          <w:rFonts w:ascii="Times New Roman" w:hAnsi="Times New Roman" w:cs="Times New Roman"/>
          <w:color w:val="000000"/>
        </w:rPr>
      </w:pPr>
    </w:p>
    <w:p w14:paraId="74E22188" w14:textId="77777777" w:rsidR="00715DCF" w:rsidRPr="00DB754C" w:rsidRDefault="00715DCF" w:rsidP="00715DCF">
      <w:pPr>
        <w:widowControl w:val="0"/>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w:lastRenderedPageBreak/>
        <w:drawing>
          <wp:inline distT="0" distB="0" distL="0" distR="0" wp14:anchorId="063E1BBF" wp14:editId="200F6DA2">
            <wp:extent cx="5904000" cy="3960000"/>
            <wp:effectExtent l="0" t="0" r="1905" b="254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DB754C">
        <w:rPr>
          <w:rFonts w:ascii="Times New Roman" w:hAnsi="Times New Roman" w:cs="Times New Roman"/>
          <w:color w:val="000000"/>
        </w:rPr>
        <w:t xml:space="preserve"> </w:t>
      </w:r>
    </w:p>
    <w:p w14:paraId="4114DE1C" w14:textId="4DEBD26B" w:rsidR="00715DCF" w:rsidRPr="00DB754C" w:rsidRDefault="00715DCF" w:rsidP="00CF09D3">
      <w:pPr>
        <w:pStyle w:val="Descripcin"/>
        <w:spacing w:line="360" w:lineRule="auto"/>
        <w:jc w:val="center"/>
        <w:rPr>
          <w:b w:val="0"/>
          <w:color w:val="000000"/>
        </w:rPr>
      </w:pPr>
      <w:bookmarkStart w:id="15" w:name="_Ref108857625"/>
      <w:bookmarkStart w:id="16" w:name="_Toc109756800"/>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6</w:t>
      </w:r>
      <w:r w:rsidRPr="00DB754C">
        <w:rPr>
          <w:b w:val="0"/>
          <w:i/>
          <w:color w:val="000000"/>
        </w:rPr>
        <w:fldChar w:fldCharType="end"/>
      </w:r>
      <w:r w:rsidRPr="00DB754C">
        <w:rPr>
          <w:b w:val="0"/>
          <w:i/>
          <w:color w:val="000000"/>
        </w:rPr>
        <w:t>.</w:t>
      </w:r>
      <w:bookmarkEnd w:id="15"/>
      <w:r w:rsidRPr="00DB754C">
        <w:rPr>
          <w:b w:val="0"/>
          <w:color w:val="000000"/>
        </w:rPr>
        <w:t xml:space="preserve"> </w:t>
      </w:r>
      <w:r w:rsidR="00CF09D3" w:rsidRPr="00DB754C">
        <w:rPr>
          <w:b w:val="0"/>
          <w:color w:val="000000"/>
        </w:rPr>
        <w:t xml:space="preserve"> </w:t>
      </w:r>
      <w:r w:rsidRPr="00DB754C">
        <w:rPr>
          <w:b w:val="0"/>
          <w:color w:val="000000"/>
        </w:rPr>
        <w:t>Ocupaciones asociadas a las áreas de conocimiento de la ingeniería industrial, Colombia y USA.</w:t>
      </w:r>
      <w:bookmarkEnd w:id="16"/>
      <w:r w:rsidR="00CF09D3" w:rsidRPr="00DB754C">
        <w:rPr>
          <w:b w:val="0"/>
          <w:color w:val="000000"/>
        </w:rPr>
        <w:t xml:space="preserve"> Elaboración propia.</w:t>
      </w:r>
    </w:p>
    <w:p w14:paraId="0E4A47F6" w14:textId="77777777" w:rsidR="00CF09D3" w:rsidRPr="00DB754C" w:rsidRDefault="00CF09D3" w:rsidP="00715DCF">
      <w:pPr>
        <w:widowControl w:val="0"/>
        <w:spacing w:line="360" w:lineRule="auto"/>
        <w:rPr>
          <w:rFonts w:ascii="Times New Roman" w:hAnsi="Times New Roman" w:cs="Times New Roman"/>
          <w:color w:val="000000"/>
        </w:rPr>
      </w:pPr>
    </w:p>
    <w:p w14:paraId="52B76C40" w14:textId="77777777" w:rsidR="00CF09D3" w:rsidRPr="00DB754C" w:rsidRDefault="00CF09D3" w:rsidP="00CF09D3">
      <w:pPr>
        <w:widowControl w:val="0"/>
        <w:spacing w:line="360" w:lineRule="auto"/>
        <w:rPr>
          <w:rFonts w:ascii="Times New Roman" w:hAnsi="Times New Roman" w:cs="Times New Roman"/>
          <w:color w:val="000000"/>
        </w:rPr>
      </w:pPr>
      <w:r w:rsidRPr="00DB754C">
        <w:rPr>
          <w:rFonts w:ascii="Times New Roman" w:hAnsi="Times New Roman" w:cs="Times New Roman"/>
          <w:color w:val="000000"/>
        </w:rPr>
        <w:t>Entre las principales diferencias se tiene que para USA la Gestión de la cadena de suministro se encuentra en tercer lugar con el 12%, mientras que para Colombia ocupa el séptimo lugar con solo el 4%. Algo similar sucede con Enfoque al cliente. También se encontró que un área como la Gestión estratégica es relevante para Colombia, pero no se encuentra ni en el top 10 de áreas relevantes de USA.</w:t>
      </w:r>
    </w:p>
    <w:p w14:paraId="3AFEB786" w14:textId="77777777" w:rsidR="00CF09D3" w:rsidRPr="00DB754C" w:rsidRDefault="00CF09D3" w:rsidP="00715DCF">
      <w:pPr>
        <w:widowControl w:val="0"/>
        <w:spacing w:line="360" w:lineRule="auto"/>
        <w:rPr>
          <w:rFonts w:ascii="Times New Roman" w:hAnsi="Times New Roman" w:cs="Times New Roman"/>
          <w:color w:val="000000"/>
        </w:rPr>
      </w:pPr>
    </w:p>
    <w:p w14:paraId="5899AE0A" w14:textId="395FC8D6" w:rsidR="00715DCF" w:rsidRPr="00DB754C" w:rsidRDefault="00715DCF" w:rsidP="00715DCF">
      <w:pPr>
        <w:widowControl w:val="0"/>
        <w:spacing w:line="360" w:lineRule="auto"/>
        <w:rPr>
          <w:rFonts w:ascii="Times New Roman" w:hAnsi="Times New Roman" w:cs="Times New Roman"/>
          <w:color w:val="000000"/>
        </w:rPr>
      </w:pPr>
      <w:r w:rsidRPr="00DB754C">
        <w:rPr>
          <w:rFonts w:ascii="Times New Roman" w:hAnsi="Times New Roman" w:cs="Times New Roman"/>
          <w:color w:val="000000"/>
        </w:rPr>
        <w:t xml:space="preserve">Finalmente, </w:t>
      </w:r>
      <w:r w:rsidR="000B079F" w:rsidRPr="00DB754C">
        <w:rPr>
          <w:rFonts w:ascii="Times New Roman" w:hAnsi="Times New Roman" w:cs="Times New Roman"/>
          <w:color w:val="000000"/>
        </w:rPr>
        <w:t>lo anterior</w:t>
      </w:r>
      <w:r w:rsidRPr="00DB754C">
        <w:rPr>
          <w:rFonts w:ascii="Times New Roman" w:hAnsi="Times New Roman" w:cs="Times New Roman"/>
          <w:color w:val="000000"/>
        </w:rPr>
        <w:t xml:space="preserve"> permite concluir que tanto por funciones y ocupaciones, el Análisis económico de ingeniería, un área administrativa y financiera, es el área más relevante para USA, mientras que para Colombia se tiene un área más operacional como la Ingeniería y gestión de operaciones. Sin embargo, estas dos áreas junto a la Gestión de recursos humanos son áreas comunes dentro del top 5 de áreas más relevantes en los dos países.</w:t>
      </w:r>
    </w:p>
    <w:p w14:paraId="7E4791DB" w14:textId="62A556C3" w:rsidR="00715DCF" w:rsidRPr="00DB754C" w:rsidRDefault="00715DCF" w:rsidP="000B079F">
      <w:pPr>
        <w:spacing w:line="360" w:lineRule="auto"/>
        <w:rPr>
          <w:rFonts w:ascii="Times New Roman" w:hAnsi="Times New Roman" w:cs="Times New Roman"/>
          <w:color w:val="000000"/>
        </w:rPr>
      </w:pPr>
    </w:p>
    <w:p w14:paraId="2F2F0CA3" w14:textId="759750BD" w:rsidR="00F60EBD" w:rsidRPr="00DB754C" w:rsidRDefault="00F60EBD" w:rsidP="000B079F">
      <w:pPr>
        <w:spacing w:line="360" w:lineRule="auto"/>
        <w:rPr>
          <w:rFonts w:ascii="Times New Roman" w:hAnsi="Times New Roman" w:cs="Times New Roman"/>
          <w:i/>
          <w:color w:val="000000"/>
        </w:rPr>
      </w:pPr>
      <w:r w:rsidRPr="00DB754C">
        <w:rPr>
          <w:rFonts w:ascii="Times New Roman" w:hAnsi="Times New Roman" w:cs="Times New Roman"/>
          <w:i/>
          <w:color w:val="000000"/>
        </w:rPr>
        <w:lastRenderedPageBreak/>
        <w:t>Relevancia de las áreas de conocimiento de la ingeniería industrial según estadísticas de ofertas laborales</w:t>
      </w:r>
    </w:p>
    <w:p w14:paraId="7D4E78DE" w14:textId="6AF442F6" w:rsidR="00F60EBD" w:rsidRPr="00DB754C" w:rsidRDefault="00F60EBD" w:rsidP="000B079F">
      <w:pPr>
        <w:spacing w:line="360" w:lineRule="auto"/>
        <w:rPr>
          <w:rFonts w:ascii="Times New Roman" w:hAnsi="Times New Roman" w:cs="Times New Roman"/>
          <w:color w:val="000000"/>
        </w:rPr>
      </w:pPr>
    </w:p>
    <w:p w14:paraId="7EDBBCDD" w14:textId="40A85024" w:rsidR="000B079F" w:rsidRPr="00DB754C" w:rsidRDefault="000B079F" w:rsidP="000B079F">
      <w:pPr>
        <w:widowControl w:val="0"/>
        <w:spacing w:line="360" w:lineRule="auto"/>
        <w:rPr>
          <w:rFonts w:ascii="Times New Roman" w:hAnsi="Times New Roman" w:cs="Times New Roman"/>
          <w:color w:val="000000"/>
        </w:rPr>
      </w:pPr>
      <w:r w:rsidRPr="00DB754C">
        <w:rPr>
          <w:rFonts w:ascii="Times New Roman" w:hAnsi="Times New Roman" w:cs="Times New Roman"/>
          <w:color w:val="000000"/>
        </w:rPr>
        <w:t xml:space="preserve">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_Ref108971099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Pr="00DB754C">
        <w:rPr>
          <w:rFonts w:ascii="Times New Roman" w:hAnsi="Times New Roman" w:cs="Times New Roman"/>
          <w:color w:val="000000"/>
        </w:rPr>
        <w:t xml:space="preserve">Figura </w:t>
      </w:r>
      <w:r w:rsidRPr="00DB754C">
        <w:rPr>
          <w:rFonts w:ascii="Times New Roman" w:hAnsi="Times New Roman" w:cs="Times New Roman"/>
          <w:noProof/>
          <w:color w:val="000000"/>
        </w:rPr>
        <w:t>7</w:t>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se muestra un resumen las vacantes disponibles para cada área de conocimiento, desde el año 2012 hasta el 2021. Es evidente como Enfoque al cliente ha ido aumentando la cantidad de vacantes a lo largo del tiempo y que además tiene una gran relevancia, frente a las demás áreas de conocimiento. Lo anterior se debe a la gran cantidad de vacantes que se encuentran para cargos asociados a vendedores y, por lo tanto, con el fin de observar con más detalle el comportamiento de las vacantes de las demás áreas, se presenta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_Ref109224410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end"/>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_Ref109752835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Pr="00DB754C">
        <w:rPr>
          <w:rFonts w:ascii="Times New Roman" w:hAnsi="Times New Roman" w:cs="Times New Roman"/>
          <w:color w:val="000000"/>
        </w:rPr>
        <w:t xml:space="preserve">Figura </w:t>
      </w:r>
      <w:r w:rsidRPr="00DB754C">
        <w:rPr>
          <w:rFonts w:ascii="Times New Roman" w:hAnsi="Times New Roman" w:cs="Times New Roman"/>
          <w:noProof/>
          <w:color w:val="000000"/>
        </w:rPr>
        <w:t>8</w:t>
      </w:r>
      <w:r w:rsidRPr="00DB754C">
        <w:rPr>
          <w:rFonts w:ascii="Times New Roman" w:hAnsi="Times New Roman" w:cs="Times New Roman"/>
          <w:color w:val="000000"/>
        </w:rPr>
        <w:fldChar w:fldCharType="end"/>
      </w:r>
      <w:r w:rsidRPr="00DB754C">
        <w:rPr>
          <w:rFonts w:ascii="Times New Roman" w:hAnsi="Times New Roman" w:cs="Times New Roman"/>
          <w:color w:val="000000"/>
        </w:rPr>
        <w:t>.</w:t>
      </w:r>
    </w:p>
    <w:p w14:paraId="318CA843" w14:textId="77777777" w:rsidR="000B079F" w:rsidRPr="00DB754C" w:rsidRDefault="000B079F" w:rsidP="000B079F">
      <w:pPr>
        <w:widowControl w:val="0"/>
        <w:spacing w:line="360" w:lineRule="auto"/>
        <w:rPr>
          <w:rFonts w:ascii="Times New Roman" w:hAnsi="Times New Roman" w:cs="Times New Roman"/>
          <w:color w:val="000000"/>
        </w:rPr>
      </w:pPr>
    </w:p>
    <w:p w14:paraId="4EE97461" w14:textId="77777777" w:rsidR="000B079F" w:rsidRPr="00DB754C" w:rsidRDefault="000B079F" w:rsidP="000B079F">
      <w:pPr>
        <w:keepNext/>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w:drawing>
          <wp:inline distT="0" distB="0" distL="0" distR="0" wp14:anchorId="4A67AD1E" wp14:editId="67C86592">
            <wp:extent cx="5924550" cy="4320000"/>
            <wp:effectExtent l="0" t="0" r="0" b="444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4BEB74" w14:textId="54672CC4" w:rsidR="000B079F" w:rsidRPr="00DB754C" w:rsidRDefault="000B079F" w:rsidP="000B079F">
      <w:pPr>
        <w:pStyle w:val="Descripcin"/>
        <w:spacing w:line="360" w:lineRule="auto"/>
        <w:jc w:val="center"/>
        <w:rPr>
          <w:b w:val="0"/>
          <w:color w:val="000000"/>
        </w:rPr>
      </w:pPr>
      <w:bookmarkStart w:id="17" w:name="_Ref109224410"/>
      <w:bookmarkStart w:id="18" w:name="_Ref108971099"/>
      <w:bookmarkStart w:id="19" w:name="_Toc109756801"/>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7</w:t>
      </w:r>
      <w:r w:rsidRPr="00DB754C">
        <w:rPr>
          <w:b w:val="0"/>
          <w:i/>
          <w:color w:val="000000"/>
        </w:rPr>
        <w:fldChar w:fldCharType="end"/>
      </w:r>
      <w:bookmarkEnd w:id="17"/>
      <w:r w:rsidRPr="00DB754C">
        <w:rPr>
          <w:b w:val="0"/>
          <w:i/>
          <w:color w:val="000000"/>
        </w:rPr>
        <w:t>.</w:t>
      </w:r>
      <w:bookmarkEnd w:id="18"/>
      <w:r w:rsidRPr="00DB754C">
        <w:rPr>
          <w:b w:val="0"/>
          <w:color w:val="000000"/>
        </w:rPr>
        <w:t xml:space="preserve">  Cantidad de vacantes por área de conocimiento de la ingeniería industrial desde 2012 hasta 2021.</w:t>
      </w:r>
      <w:bookmarkEnd w:id="19"/>
      <w:r w:rsidRPr="00DB754C">
        <w:rPr>
          <w:b w:val="0"/>
          <w:color w:val="000000"/>
        </w:rPr>
        <w:t xml:space="preserve"> Elaboración propia.</w:t>
      </w:r>
    </w:p>
    <w:p w14:paraId="2C266885" w14:textId="77777777" w:rsidR="000B079F" w:rsidRPr="00DB754C" w:rsidRDefault="000B079F" w:rsidP="000B079F">
      <w:pPr>
        <w:rPr>
          <w:color w:val="000000"/>
          <w:lang w:val="es-ES"/>
        </w:rPr>
      </w:pPr>
    </w:p>
    <w:p w14:paraId="7E94BCD8" w14:textId="34A18A63" w:rsidR="000B079F" w:rsidRPr="00DB754C" w:rsidRDefault="000B079F" w:rsidP="000B079F">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 xml:space="preserve">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_Ref109752835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Pr="00DB754C">
        <w:rPr>
          <w:rFonts w:ascii="Times New Roman" w:hAnsi="Times New Roman" w:cs="Times New Roman"/>
          <w:color w:val="000000"/>
        </w:rPr>
        <w:t>Figura 8</w:t>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se observa que otras áreas que se destacan son la Ingeniería y gestión de operaciones, Ingeniería de la información, Gestión estratégica y Gestión de recursos humanos. De igual manera, se observa como el área de Proceso comerciales ha aumentado su relevancia a lo largo de los años y actualmente es una de las áreas de conocimiento con mayor cantidad de vacantes. Otras áreas que también han tenido un crecimiento notable son la Seguridad e Ingeniería de calidad y confiabilidad, posiblemente por la creación de normas relacionadas, como por ejemplo la ISO 45001 y 9001.</w:t>
      </w:r>
    </w:p>
    <w:p w14:paraId="3446D627" w14:textId="77777777" w:rsidR="000B079F" w:rsidRPr="00DB754C" w:rsidRDefault="000B079F" w:rsidP="000B079F">
      <w:pPr>
        <w:spacing w:line="360" w:lineRule="auto"/>
        <w:rPr>
          <w:rFonts w:ascii="Times New Roman" w:hAnsi="Times New Roman" w:cs="Times New Roman"/>
          <w:color w:val="000000"/>
        </w:rPr>
      </w:pPr>
    </w:p>
    <w:p w14:paraId="2B1DA667" w14:textId="77777777" w:rsidR="000B079F" w:rsidRPr="00DB754C" w:rsidRDefault="000B079F" w:rsidP="000B079F">
      <w:pPr>
        <w:keepNext/>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w:drawing>
          <wp:inline distT="0" distB="0" distL="0" distR="0" wp14:anchorId="0D5DE90F" wp14:editId="66C29C45">
            <wp:extent cx="5943600" cy="4140000"/>
            <wp:effectExtent l="0" t="0" r="0" b="1333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CCB5E5" w14:textId="1C925602" w:rsidR="000B079F" w:rsidRPr="00DB754C" w:rsidRDefault="000B079F" w:rsidP="000B079F">
      <w:pPr>
        <w:pStyle w:val="Descripcin"/>
        <w:spacing w:line="360" w:lineRule="auto"/>
        <w:jc w:val="center"/>
        <w:rPr>
          <w:b w:val="0"/>
          <w:color w:val="000000"/>
        </w:rPr>
      </w:pPr>
      <w:bookmarkStart w:id="20" w:name="_Ref109752835"/>
      <w:bookmarkStart w:id="21" w:name="_Toc109756802"/>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8</w:t>
      </w:r>
      <w:r w:rsidRPr="00DB754C">
        <w:rPr>
          <w:b w:val="0"/>
          <w:i/>
          <w:color w:val="000000"/>
        </w:rPr>
        <w:fldChar w:fldCharType="end"/>
      </w:r>
      <w:bookmarkEnd w:id="20"/>
      <w:r w:rsidRPr="00DB754C">
        <w:rPr>
          <w:b w:val="0"/>
          <w:i/>
          <w:color w:val="000000"/>
        </w:rPr>
        <w:t>.</w:t>
      </w:r>
      <w:r w:rsidRPr="00DB754C">
        <w:rPr>
          <w:b w:val="0"/>
          <w:color w:val="000000"/>
        </w:rPr>
        <w:t xml:space="preserve"> Cantidad de vacantes por área de conocimiento de la ingeniería industrial desde 2012 hasta 2021, sin tener en cuenta Enfoque al cliente.</w:t>
      </w:r>
      <w:bookmarkEnd w:id="21"/>
      <w:r w:rsidRPr="00DB754C">
        <w:rPr>
          <w:b w:val="0"/>
          <w:color w:val="000000"/>
        </w:rPr>
        <w:t xml:space="preserve"> Elaboración propia.</w:t>
      </w:r>
    </w:p>
    <w:p w14:paraId="5E43DEB2" w14:textId="77777777" w:rsidR="000B079F" w:rsidRPr="00DB754C" w:rsidRDefault="000B079F" w:rsidP="000B079F">
      <w:pPr>
        <w:widowControl w:val="0"/>
        <w:spacing w:line="360" w:lineRule="auto"/>
        <w:rPr>
          <w:rFonts w:ascii="Times New Roman" w:hAnsi="Times New Roman" w:cs="Times New Roman"/>
          <w:color w:val="000000"/>
        </w:rPr>
      </w:pPr>
    </w:p>
    <w:p w14:paraId="376AE92F" w14:textId="73EDDF1F" w:rsidR="000B079F" w:rsidRPr="00DB754C" w:rsidRDefault="000B079F" w:rsidP="007C3CB8">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_Ref109752835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Pr="00DB754C">
        <w:rPr>
          <w:rFonts w:ascii="Times New Roman" w:hAnsi="Times New Roman" w:cs="Times New Roman"/>
          <w:color w:val="000000"/>
        </w:rPr>
        <w:t xml:space="preserve">Figura </w:t>
      </w:r>
      <w:r w:rsidRPr="00DB754C">
        <w:rPr>
          <w:rFonts w:ascii="Times New Roman" w:hAnsi="Times New Roman" w:cs="Times New Roman"/>
          <w:noProof/>
          <w:color w:val="000000"/>
        </w:rPr>
        <w:t>8</w:t>
      </w:r>
      <w:r w:rsidRPr="00DB754C">
        <w:rPr>
          <w:rFonts w:ascii="Times New Roman" w:hAnsi="Times New Roman" w:cs="Times New Roman"/>
          <w:color w:val="000000"/>
        </w:rPr>
        <w:fldChar w:fldCharType="end"/>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_Ref106637539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también se evidencian la poca relevancia que tienen áreas como Diseño y medición del trabajo, Investigación y análisis de operaciones, Ergonomía y factores humanos, Sistemas de conocimiento compartido, Recursos y responsabilidad, Ingeniería de </w:t>
      </w:r>
      <w:r w:rsidRPr="00DB754C">
        <w:rPr>
          <w:rFonts w:ascii="Times New Roman" w:hAnsi="Times New Roman" w:cs="Times New Roman"/>
          <w:color w:val="000000"/>
        </w:rPr>
        <w:lastRenderedPageBreak/>
        <w:t>diseño y fabricación, y Diseño e ingeniería de sistemas. Además de Gestión de Proyectos y Gestión del desempeño a nivel organizacional.</w:t>
      </w:r>
    </w:p>
    <w:p w14:paraId="07959B5B" w14:textId="77777777" w:rsidR="000B079F" w:rsidRPr="00DB754C" w:rsidRDefault="000B079F" w:rsidP="00E76440">
      <w:pPr>
        <w:widowControl w:val="0"/>
        <w:spacing w:line="360" w:lineRule="auto"/>
        <w:rPr>
          <w:rFonts w:ascii="Times New Roman" w:hAnsi="Times New Roman" w:cs="Times New Roman"/>
          <w:color w:val="000000"/>
        </w:rPr>
      </w:pPr>
    </w:p>
    <w:p w14:paraId="1B80857F" w14:textId="3A727289" w:rsidR="000B079F" w:rsidRPr="00DB754C" w:rsidRDefault="000B079F" w:rsidP="00E76440">
      <w:pPr>
        <w:spacing w:line="360" w:lineRule="auto"/>
        <w:rPr>
          <w:rFonts w:ascii="Times New Roman" w:eastAsiaTheme="minorEastAsia" w:hAnsi="Times New Roman" w:cs="Times New Roman"/>
          <w:color w:val="000000"/>
        </w:rPr>
      </w:pPr>
      <w:r w:rsidRPr="00DB754C">
        <w:rPr>
          <w:rFonts w:ascii="Times New Roman" w:hAnsi="Times New Roman" w:cs="Times New Roman"/>
          <w:color w:val="000000"/>
        </w:rPr>
        <w:t xml:space="preserve">Luego, se procedió a realizar un promedio de las vacantes anuales, por área de conocimiento y se tiene que, </w:t>
      </w:r>
      <w:r w:rsidRPr="00DB754C">
        <w:rPr>
          <w:rFonts w:ascii="Times New Roman" w:eastAsiaTheme="minorEastAsia" w:hAnsi="Times New Roman" w:cs="Times New Roman"/>
          <w:color w:val="000000"/>
        </w:rPr>
        <w:t xml:space="preserve">el Enfoque al cliente es el área que más vacantes acoge con cerca del 49%. Sin embargo, al no tener en cuenta esta área de conocimiento se tiene que, como se observa en </w:t>
      </w:r>
      <w:r w:rsidRPr="00DB754C">
        <w:rPr>
          <w:rFonts w:ascii="Times New Roman" w:hAnsi="Times New Roman" w:cs="Times New Roman"/>
          <w:color w:val="000000"/>
        </w:rPr>
        <w:t xml:space="preserve">la </w:t>
      </w:r>
      <w:r w:rsidRPr="00DB754C">
        <w:rPr>
          <w:rFonts w:ascii="Times New Roman" w:eastAsiaTheme="minorEastAsia" w:hAnsi="Times New Roman" w:cs="Times New Roman"/>
          <w:color w:val="000000"/>
        </w:rPr>
        <w:fldChar w:fldCharType="begin"/>
      </w:r>
      <w:r w:rsidRPr="00DB754C">
        <w:rPr>
          <w:rFonts w:ascii="Times New Roman" w:hAnsi="Times New Roman" w:cs="Times New Roman"/>
          <w:color w:val="000000"/>
        </w:rPr>
        <w:instrText xml:space="preserve"> REF _Ref109754177 \h </w:instrText>
      </w:r>
      <w:r w:rsidRPr="00DB754C">
        <w:rPr>
          <w:rFonts w:ascii="Times New Roman" w:eastAsiaTheme="minorEastAsia" w:hAnsi="Times New Roman" w:cs="Times New Roman"/>
          <w:color w:val="000000"/>
        </w:rPr>
        <w:instrText xml:space="preserve"> \* MERGEFORMAT </w:instrText>
      </w:r>
      <w:r w:rsidRPr="00DB754C">
        <w:rPr>
          <w:rFonts w:ascii="Times New Roman" w:eastAsiaTheme="minorEastAsia" w:hAnsi="Times New Roman" w:cs="Times New Roman"/>
          <w:color w:val="000000"/>
        </w:rPr>
      </w:r>
      <w:r w:rsidRPr="00DB754C">
        <w:rPr>
          <w:rFonts w:ascii="Times New Roman" w:eastAsiaTheme="minorEastAsia" w:hAnsi="Times New Roman" w:cs="Times New Roman"/>
          <w:color w:val="000000"/>
        </w:rPr>
        <w:fldChar w:fldCharType="separate"/>
      </w:r>
      <w:r w:rsidRPr="00DB754C">
        <w:rPr>
          <w:rFonts w:ascii="Times New Roman" w:hAnsi="Times New Roman" w:cs="Times New Roman"/>
          <w:color w:val="000000"/>
        </w:rPr>
        <w:t xml:space="preserve">Figura </w:t>
      </w:r>
      <w:r w:rsidRPr="00DB754C">
        <w:rPr>
          <w:rFonts w:ascii="Times New Roman" w:hAnsi="Times New Roman" w:cs="Times New Roman"/>
          <w:noProof/>
          <w:color w:val="000000"/>
        </w:rPr>
        <w:t>9</w:t>
      </w:r>
      <w:r w:rsidRPr="00DB754C">
        <w:rPr>
          <w:rFonts w:ascii="Times New Roman" w:eastAsiaTheme="minorEastAsia" w:hAnsi="Times New Roman" w:cs="Times New Roman"/>
          <w:color w:val="000000"/>
        </w:rPr>
        <w:fldChar w:fldCharType="end"/>
      </w:r>
      <w:r w:rsidRPr="00DB754C">
        <w:rPr>
          <w:rFonts w:ascii="Times New Roman" w:eastAsiaTheme="minorEastAsia" w:hAnsi="Times New Roman" w:cs="Times New Roman"/>
          <w:color w:val="000000"/>
        </w:rPr>
        <w:t>, Ingeniería y gestión de operaciones es el área más relevante con cerca del 20% de las vacantes, seguida por Ingeniería de la información, Gestión estratégica, Gestión de recursos humanos y  Procesos comerciales con 19,13%, 16,43%, 12,81% y 11,37% respectivamente. Lo anterior permite afirmar que el 80% de las vacantes que puede cubrir un ingeniero industrial en Colombia están asociadas a este 20% de áreas de conocimiento.</w:t>
      </w:r>
    </w:p>
    <w:p w14:paraId="53A0C7C9" w14:textId="77777777" w:rsidR="000B079F" w:rsidRPr="00DB754C" w:rsidRDefault="000B079F" w:rsidP="00E76440">
      <w:pPr>
        <w:spacing w:line="360" w:lineRule="auto"/>
        <w:rPr>
          <w:rFonts w:ascii="Times New Roman" w:eastAsiaTheme="minorEastAsia" w:hAnsi="Times New Roman" w:cs="Times New Roman"/>
          <w:color w:val="000000"/>
        </w:rPr>
      </w:pPr>
    </w:p>
    <w:p w14:paraId="6B9C22DC" w14:textId="68993859" w:rsidR="000B079F" w:rsidRPr="00DB754C" w:rsidRDefault="000B079F" w:rsidP="00E76440">
      <w:pPr>
        <w:keepNext/>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mc:AlternateContent>
          <mc:Choice Requires="cx1">
            <w:drawing>
              <wp:inline distT="0" distB="0" distL="0" distR="0" wp14:anchorId="52F1E945" wp14:editId="1A220B94">
                <wp:extent cx="5940000" cy="3960000"/>
                <wp:effectExtent l="0" t="0" r="3810" b="2540"/>
                <wp:docPr id="22" name="Gráfico 22"/>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0"/>
                  </a:graphicData>
                </a:graphic>
              </wp:inline>
            </w:drawing>
          </mc:Choice>
          <mc:Fallback>
            <w:drawing>
              <wp:inline distT="0" distB="0" distL="0" distR="0" wp14:anchorId="52F1E945" wp14:editId="1A220B94">
                <wp:extent cx="5940000" cy="3960000"/>
                <wp:effectExtent l="0" t="0" r="3810" b="2540"/>
                <wp:docPr id="22" name="Gráfico 2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2" name="Gráfico 22"/>
                        <pic:cNvPicPr>
                          <a:picLocks noGrp="1" noRot="1" noChangeAspect="1" noMove="1" noResize="1" noEditPoints="1" noAdjustHandles="1" noChangeArrowheads="1" noChangeShapeType="1"/>
                        </pic:cNvPicPr>
                      </pic:nvPicPr>
                      <pic:blipFill>
                        <a:blip r:embed="rId21"/>
                        <a:stretch>
                          <a:fillRect/>
                        </a:stretch>
                      </pic:blipFill>
                      <pic:spPr>
                        <a:xfrm>
                          <a:off x="0" y="0"/>
                          <a:ext cx="5939790" cy="3959860"/>
                        </a:xfrm>
                        <a:prstGeom prst="rect">
                          <a:avLst/>
                        </a:prstGeom>
                      </pic:spPr>
                    </pic:pic>
                  </a:graphicData>
                </a:graphic>
              </wp:inline>
            </w:drawing>
          </mc:Fallback>
        </mc:AlternateContent>
      </w:r>
    </w:p>
    <w:p w14:paraId="6DBB6D94" w14:textId="3C825ABD" w:rsidR="000B079F" w:rsidRPr="00DB754C" w:rsidRDefault="000B079F" w:rsidP="00E76440">
      <w:pPr>
        <w:pStyle w:val="Descripcin"/>
        <w:spacing w:line="360" w:lineRule="auto"/>
        <w:jc w:val="center"/>
        <w:rPr>
          <w:b w:val="0"/>
          <w:color w:val="000000"/>
        </w:rPr>
      </w:pPr>
      <w:bookmarkStart w:id="22" w:name="_Ref109754177"/>
      <w:bookmarkStart w:id="23" w:name="_Ref108973519"/>
      <w:bookmarkStart w:id="24" w:name="_Toc109756803"/>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9</w:t>
      </w:r>
      <w:r w:rsidRPr="00DB754C">
        <w:rPr>
          <w:b w:val="0"/>
          <w:i/>
          <w:color w:val="000000"/>
        </w:rPr>
        <w:fldChar w:fldCharType="end"/>
      </w:r>
      <w:bookmarkEnd w:id="22"/>
      <w:r w:rsidRPr="00DB754C">
        <w:rPr>
          <w:b w:val="0"/>
          <w:i/>
          <w:color w:val="000000"/>
        </w:rPr>
        <w:t>.</w:t>
      </w:r>
      <w:bookmarkEnd w:id="23"/>
      <w:r w:rsidRPr="00DB754C">
        <w:rPr>
          <w:b w:val="0"/>
          <w:color w:val="000000"/>
        </w:rPr>
        <w:t xml:space="preserve"> Promedio de vacantes asociadas a las áreas de conocimiento de la ingeniería industrial.</w:t>
      </w:r>
      <w:bookmarkEnd w:id="24"/>
      <w:r w:rsidRPr="00DB754C">
        <w:rPr>
          <w:b w:val="0"/>
          <w:color w:val="000000"/>
        </w:rPr>
        <w:t xml:space="preserve"> Elaboración propia.</w:t>
      </w:r>
    </w:p>
    <w:p w14:paraId="37B9CD61" w14:textId="2BB9197A" w:rsidR="00CF09D3" w:rsidRPr="00DB754C" w:rsidRDefault="00CF09D3" w:rsidP="00E76440">
      <w:pPr>
        <w:spacing w:line="360" w:lineRule="auto"/>
        <w:rPr>
          <w:rFonts w:ascii="Times New Roman" w:hAnsi="Times New Roman" w:cs="Times New Roman"/>
          <w:color w:val="000000"/>
        </w:rPr>
      </w:pPr>
    </w:p>
    <w:p w14:paraId="32A04676" w14:textId="3FA86EBE" w:rsidR="000B079F" w:rsidRPr="00DB754C" w:rsidRDefault="000B079F" w:rsidP="00E76440">
      <w:pPr>
        <w:spacing w:line="360" w:lineRule="auto"/>
        <w:rPr>
          <w:rFonts w:ascii="Times New Roman" w:hAnsi="Times New Roman" w:cs="Times New Roman"/>
          <w:i/>
          <w:color w:val="000000"/>
        </w:rPr>
      </w:pPr>
      <w:r w:rsidRPr="00DB754C">
        <w:rPr>
          <w:rFonts w:ascii="Times New Roman" w:hAnsi="Times New Roman" w:cs="Times New Roman"/>
          <w:i/>
          <w:color w:val="000000"/>
        </w:rPr>
        <w:lastRenderedPageBreak/>
        <w:t>Relevancia de las áreas de conocimiento de la ingeniería industrial según el plan de estudios de ingeniería industrial de la Universidad Industrial de Santander</w:t>
      </w:r>
    </w:p>
    <w:p w14:paraId="3BAD5022" w14:textId="77777777" w:rsidR="007C3CB8" w:rsidRPr="00DB754C" w:rsidRDefault="007C3CB8" w:rsidP="00E76440">
      <w:pPr>
        <w:spacing w:line="360" w:lineRule="auto"/>
        <w:rPr>
          <w:rFonts w:ascii="Times New Roman" w:hAnsi="Times New Roman" w:cs="Times New Roman"/>
          <w:i/>
          <w:color w:val="000000"/>
        </w:rPr>
      </w:pPr>
    </w:p>
    <w:p w14:paraId="1C621F80" w14:textId="1963492B" w:rsidR="000B079F" w:rsidRPr="00DB754C" w:rsidRDefault="000B079F" w:rsidP="00E76440">
      <w:pPr>
        <w:spacing w:line="360" w:lineRule="auto"/>
        <w:rPr>
          <w:rFonts w:ascii="Times New Roman" w:eastAsiaTheme="minorEastAsia" w:hAnsi="Times New Roman" w:cs="Times New Roman"/>
          <w:color w:val="000000"/>
        </w:rPr>
      </w:pPr>
      <w:r w:rsidRPr="00DB754C">
        <w:rPr>
          <w:rFonts w:ascii="Times New Roman" w:hAnsi="Times New Roman" w:cs="Times New Roman"/>
          <w:color w:val="000000"/>
        </w:rPr>
        <w:t xml:space="preserve">Como se evidencia en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_Ref109211799 \h </w:instrText>
      </w:r>
      <w:r w:rsidR="00E76440" w:rsidRPr="00DB754C">
        <w:rPr>
          <w:rFonts w:ascii="Times New Roman" w:hAnsi="Times New Roman" w:cs="Times New Roman"/>
          <w:color w:val="000000"/>
        </w:rPr>
        <w:instrText xml:space="preserve">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00E76440" w:rsidRPr="00DB754C">
        <w:rPr>
          <w:rFonts w:ascii="Times New Roman" w:hAnsi="Times New Roman" w:cs="Times New Roman"/>
          <w:color w:val="000000"/>
        </w:rPr>
        <w:t xml:space="preserve">Figura </w:t>
      </w:r>
      <w:r w:rsidR="00E76440" w:rsidRPr="00DB754C">
        <w:rPr>
          <w:rFonts w:ascii="Times New Roman" w:hAnsi="Times New Roman" w:cs="Times New Roman"/>
          <w:noProof/>
          <w:color w:val="000000"/>
        </w:rPr>
        <w:t>10</w:t>
      </w:r>
      <w:r w:rsidRPr="00DB754C">
        <w:rPr>
          <w:rFonts w:ascii="Times New Roman" w:hAnsi="Times New Roman" w:cs="Times New Roman"/>
          <w:color w:val="000000"/>
        </w:rPr>
        <w:fldChar w:fldCharType="end"/>
      </w:r>
      <w:r w:rsidRPr="00DB754C">
        <w:rPr>
          <w:rFonts w:ascii="Times New Roman" w:eastAsiaTheme="minorEastAsia" w:hAnsi="Times New Roman" w:cs="Times New Roman"/>
          <w:color w:val="000000"/>
        </w:rPr>
        <w:t xml:space="preserve">, Análisis económico de ingeniería es el área que más asignaturas acoge con más del 19%, en segundo lugar está la Ingeniería de calidad y confiabilidad con más del 15% de las asignaturas, en tercer lugar se encuentran Investigación y análisis de operaciones, Ingeniería y gestión de operaciones, Enfoque al cliente, Liderazgo, trabajo en equipo y organización e Ingeniería de diseño y fabricación, cada una con cerca de 8%. </w:t>
      </w:r>
    </w:p>
    <w:p w14:paraId="0A527E68" w14:textId="77777777" w:rsidR="00E76440" w:rsidRPr="00DB754C" w:rsidRDefault="00E76440" w:rsidP="00E76440">
      <w:pPr>
        <w:spacing w:line="360" w:lineRule="auto"/>
        <w:rPr>
          <w:rFonts w:ascii="Times New Roman" w:eastAsiaTheme="minorEastAsia" w:hAnsi="Times New Roman" w:cs="Times New Roman"/>
          <w:color w:val="000000"/>
        </w:rPr>
      </w:pPr>
    </w:p>
    <w:p w14:paraId="65B651B3" w14:textId="77777777" w:rsidR="000B079F" w:rsidRPr="00DB754C" w:rsidRDefault="000B079F" w:rsidP="00E76440">
      <w:pPr>
        <w:keepNext/>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mc:AlternateContent>
          <mc:Choice Requires="cx1">
            <w:drawing>
              <wp:inline distT="0" distB="0" distL="0" distR="0" wp14:anchorId="1A7418CB" wp14:editId="00C046D5">
                <wp:extent cx="5876925" cy="3960000"/>
                <wp:effectExtent l="0" t="0" r="9525" b="2540"/>
                <wp:docPr id="23" name="Gráfico 23"/>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2"/>
                  </a:graphicData>
                </a:graphic>
              </wp:inline>
            </w:drawing>
          </mc:Choice>
          <mc:Fallback>
            <w:drawing>
              <wp:inline distT="0" distB="0" distL="0" distR="0" wp14:anchorId="1A7418CB" wp14:editId="00C046D5">
                <wp:extent cx="5876925" cy="3960000"/>
                <wp:effectExtent l="0" t="0" r="9525" b="2540"/>
                <wp:docPr id="23" name="Gráfico 2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3" name="Gráfico 23"/>
                        <pic:cNvPicPr>
                          <a:picLocks noGrp="1" noRot="1" noChangeAspect="1" noMove="1" noResize="1" noEditPoints="1" noAdjustHandles="1" noChangeArrowheads="1" noChangeShapeType="1"/>
                        </pic:cNvPicPr>
                      </pic:nvPicPr>
                      <pic:blipFill>
                        <a:blip r:embed="rId23"/>
                        <a:stretch>
                          <a:fillRect/>
                        </a:stretch>
                      </pic:blipFill>
                      <pic:spPr>
                        <a:xfrm>
                          <a:off x="0" y="0"/>
                          <a:ext cx="5876925" cy="3959860"/>
                        </a:xfrm>
                        <a:prstGeom prst="rect">
                          <a:avLst/>
                        </a:prstGeom>
                      </pic:spPr>
                    </pic:pic>
                  </a:graphicData>
                </a:graphic>
              </wp:inline>
            </w:drawing>
          </mc:Fallback>
        </mc:AlternateContent>
      </w:r>
    </w:p>
    <w:p w14:paraId="462850BC" w14:textId="7710D395" w:rsidR="000B079F" w:rsidRPr="00DB754C" w:rsidRDefault="000B079F" w:rsidP="00E76440">
      <w:pPr>
        <w:pStyle w:val="Descripcin"/>
        <w:spacing w:line="360" w:lineRule="auto"/>
        <w:jc w:val="center"/>
        <w:rPr>
          <w:b w:val="0"/>
          <w:color w:val="000000"/>
        </w:rPr>
      </w:pPr>
      <w:bookmarkStart w:id="25" w:name="_Ref109211799"/>
      <w:bookmarkStart w:id="26" w:name="_Toc109756804"/>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00E76440" w:rsidRPr="00DB754C">
        <w:rPr>
          <w:b w:val="0"/>
          <w:i/>
          <w:noProof/>
          <w:color w:val="000000"/>
        </w:rPr>
        <w:t>10</w:t>
      </w:r>
      <w:r w:rsidRPr="00DB754C">
        <w:rPr>
          <w:b w:val="0"/>
          <w:i/>
          <w:color w:val="000000"/>
        </w:rPr>
        <w:fldChar w:fldCharType="end"/>
      </w:r>
      <w:bookmarkEnd w:id="25"/>
      <w:r w:rsidRPr="00DB754C">
        <w:rPr>
          <w:b w:val="0"/>
          <w:i/>
          <w:color w:val="000000"/>
        </w:rPr>
        <w:t>.</w:t>
      </w:r>
      <w:r w:rsidRPr="00DB754C">
        <w:rPr>
          <w:b w:val="0"/>
          <w:color w:val="000000"/>
        </w:rPr>
        <w:t xml:space="preserve"> Asignaturas del plan 11 asociadas a las áreas de conocimiento de la ingeniería industrial.</w:t>
      </w:r>
      <w:bookmarkEnd w:id="26"/>
      <w:r w:rsidR="00E76440" w:rsidRPr="00DB754C">
        <w:rPr>
          <w:b w:val="0"/>
          <w:color w:val="000000"/>
        </w:rPr>
        <w:t xml:space="preserve"> Elaboración propia.</w:t>
      </w:r>
    </w:p>
    <w:p w14:paraId="1DE1E295" w14:textId="77777777" w:rsidR="00E76440" w:rsidRPr="00DB754C" w:rsidRDefault="00E76440" w:rsidP="00E76440">
      <w:pPr>
        <w:rPr>
          <w:color w:val="000000"/>
          <w:lang w:val="es-ES"/>
        </w:rPr>
      </w:pPr>
    </w:p>
    <w:p w14:paraId="1E41F31C" w14:textId="20241841" w:rsidR="00E76440" w:rsidRPr="00DB754C" w:rsidRDefault="000B079F" w:rsidP="00E76440">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Ahora, para realizar el respectivo análisis de los resultados obtenidos para cada fuente de información y contrastarlos con aquellos encontrados en el plan de estudios de Ingeniería Industrial, es importante tener presente la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_Ref109216403 \h </w:instrText>
      </w:r>
      <w:r w:rsidR="00E76440" w:rsidRPr="00DB754C">
        <w:rPr>
          <w:rFonts w:ascii="Times New Roman" w:hAnsi="Times New Roman" w:cs="Times New Roman"/>
          <w:color w:val="000000"/>
        </w:rPr>
        <w:instrText xml:space="preserve">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00E76440" w:rsidRPr="00DB754C">
        <w:rPr>
          <w:rFonts w:ascii="Times New Roman" w:hAnsi="Times New Roman" w:cs="Times New Roman"/>
          <w:color w:val="000000"/>
        </w:rPr>
        <w:t xml:space="preserve">Tabla </w:t>
      </w:r>
      <w:r w:rsidR="00E76440" w:rsidRPr="00DB754C">
        <w:rPr>
          <w:rFonts w:ascii="Times New Roman" w:hAnsi="Times New Roman" w:cs="Times New Roman"/>
          <w:noProof/>
          <w:color w:val="000000"/>
        </w:rPr>
        <w:t>3</w:t>
      </w:r>
      <w:r w:rsidRPr="00DB754C">
        <w:rPr>
          <w:rFonts w:ascii="Times New Roman" w:hAnsi="Times New Roman" w:cs="Times New Roman"/>
          <w:color w:val="000000"/>
        </w:rPr>
        <w:fldChar w:fldCharType="end"/>
      </w:r>
      <w:r w:rsidRPr="00DB754C">
        <w:rPr>
          <w:rFonts w:ascii="Times New Roman" w:hAnsi="Times New Roman" w:cs="Times New Roman"/>
          <w:color w:val="000000"/>
        </w:rPr>
        <w:t xml:space="preserve"> donde se muestra la posición ocupada por </w:t>
      </w:r>
      <w:r w:rsidRPr="00DB754C">
        <w:rPr>
          <w:rFonts w:ascii="Times New Roman" w:hAnsi="Times New Roman" w:cs="Times New Roman"/>
          <w:color w:val="000000"/>
        </w:rPr>
        <w:lastRenderedPageBreak/>
        <w:t xml:space="preserve">cada área de conocimiento según la fuente de información utilizada, junto con el porcentaje o relevancia de cada una de ellas. </w:t>
      </w:r>
    </w:p>
    <w:p w14:paraId="7377CC6E" w14:textId="77777777" w:rsidR="00E76440" w:rsidRPr="00DB754C" w:rsidRDefault="00E76440">
      <w:pPr>
        <w:rPr>
          <w:rFonts w:ascii="Times New Roman" w:hAnsi="Times New Roman" w:cs="Times New Roman"/>
          <w:color w:val="000000"/>
        </w:rPr>
        <w:sectPr w:rsidR="00E76440" w:rsidRPr="00DB754C" w:rsidSect="005704BE">
          <w:pgSz w:w="12240" w:h="15840"/>
          <w:pgMar w:top="1417" w:right="1701" w:bottom="1417" w:left="1701" w:header="708" w:footer="708" w:gutter="0"/>
          <w:cols w:space="708"/>
          <w:docGrid w:linePitch="360"/>
        </w:sectPr>
      </w:pPr>
    </w:p>
    <w:p w14:paraId="57F7F168" w14:textId="35BCE3EA" w:rsidR="00E76440" w:rsidRPr="00DB754C" w:rsidRDefault="00E76440" w:rsidP="00E76440">
      <w:pPr>
        <w:pStyle w:val="Descripcin"/>
        <w:spacing w:line="360" w:lineRule="auto"/>
        <w:rPr>
          <w:b w:val="0"/>
          <w:color w:val="000000"/>
        </w:rPr>
      </w:pPr>
      <w:bookmarkStart w:id="27" w:name="_Ref109216403"/>
      <w:bookmarkStart w:id="28" w:name="_Ref109216397"/>
      <w:bookmarkStart w:id="29" w:name="_Toc109230193"/>
      <w:r w:rsidRPr="00DB754C">
        <w:rPr>
          <w:b w:val="0"/>
          <w:color w:val="000000"/>
        </w:rPr>
        <w:lastRenderedPageBreak/>
        <w:t xml:space="preserve">Tabla </w:t>
      </w:r>
      <w:r w:rsidRPr="00DB754C">
        <w:rPr>
          <w:b w:val="0"/>
          <w:color w:val="000000"/>
        </w:rPr>
        <w:fldChar w:fldCharType="begin"/>
      </w:r>
      <w:r w:rsidRPr="00DB754C">
        <w:rPr>
          <w:b w:val="0"/>
          <w:color w:val="000000"/>
        </w:rPr>
        <w:instrText xml:space="preserve"> SEQ Tabla \* ARABIC </w:instrText>
      </w:r>
      <w:r w:rsidRPr="00DB754C">
        <w:rPr>
          <w:b w:val="0"/>
          <w:color w:val="000000"/>
        </w:rPr>
        <w:fldChar w:fldCharType="separate"/>
      </w:r>
      <w:r w:rsidRPr="00DB754C">
        <w:rPr>
          <w:b w:val="0"/>
          <w:noProof/>
          <w:color w:val="000000"/>
        </w:rPr>
        <w:t>3</w:t>
      </w:r>
      <w:r w:rsidRPr="00DB754C">
        <w:rPr>
          <w:b w:val="0"/>
          <w:color w:val="000000"/>
        </w:rPr>
        <w:fldChar w:fldCharType="end"/>
      </w:r>
      <w:bookmarkEnd w:id="27"/>
      <w:r w:rsidRPr="00DB754C">
        <w:rPr>
          <w:b w:val="0"/>
          <w:color w:val="000000"/>
        </w:rPr>
        <w:t>.</w:t>
      </w:r>
      <w:bookmarkEnd w:id="28"/>
      <w:r w:rsidRPr="00DB754C">
        <w:rPr>
          <w:b w:val="0"/>
          <w:color w:val="000000"/>
        </w:rPr>
        <w:t xml:space="preserve"> </w:t>
      </w:r>
    </w:p>
    <w:p w14:paraId="5DF51678" w14:textId="77777777" w:rsidR="00E76440" w:rsidRPr="00DB754C" w:rsidRDefault="00E76440" w:rsidP="00E76440">
      <w:pPr>
        <w:pStyle w:val="Descripcin"/>
        <w:spacing w:line="360" w:lineRule="auto"/>
        <w:rPr>
          <w:b w:val="0"/>
          <w:i/>
          <w:color w:val="000000"/>
        </w:rPr>
      </w:pPr>
      <w:r w:rsidRPr="00DB754C">
        <w:rPr>
          <w:b w:val="0"/>
          <w:i/>
          <w:color w:val="000000"/>
        </w:rPr>
        <w:t>Resumen de los resultados obtenidos</w:t>
      </w:r>
      <w:bookmarkEnd w:id="29"/>
    </w:p>
    <w:tbl>
      <w:tblPr>
        <w:tblW w:w="5000" w:type="pct"/>
        <w:tblBorders>
          <w:top w:val="single" w:sz="4" w:space="0" w:color="auto"/>
          <w:bottom w:val="single" w:sz="4" w:space="0" w:color="auto"/>
        </w:tblBorders>
        <w:tblLook w:val="04A0" w:firstRow="1" w:lastRow="0" w:firstColumn="1" w:lastColumn="0" w:noHBand="0" w:noVBand="1"/>
      </w:tblPr>
      <w:tblGrid>
        <w:gridCol w:w="634"/>
        <w:gridCol w:w="4740"/>
        <w:gridCol w:w="635"/>
        <w:gridCol w:w="637"/>
        <w:gridCol w:w="635"/>
        <w:gridCol w:w="637"/>
        <w:gridCol w:w="635"/>
        <w:gridCol w:w="637"/>
        <w:gridCol w:w="635"/>
        <w:gridCol w:w="637"/>
        <w:gridCol w:w="635"/>
        <w:gridCol w:w="637"/>
        <w:gridCol w:w="635"/>
        <w:gridCol w:w="635"/>
      </w:tblGrid>
      <w:tr w:rsidR="00DB754C" w:rsidRPr="00DB754C" w14:paraId="6790C2EC" w14:textId="77777777" w:rsidTr="00E76440">
        <w:trPr>
          <w:trHeight w:val="300"/>
          <w:tblHeader/>
        </w:trPr>
        <w:tc>
          <w:tcPr>
            <w:tcW w:w="244" w:type="pct"/>
            <w:vMerge w:val="restart"/>
            <w:tcBorders>
              <w:top w:val="single" w:sz="4" w:space="0" w:color="auto"/>
              <w:bottom w:val="single" w:sz="4" w:space="0" w:color="auto"/>
            </w:tcBorders>
            <w:shd w:val="clear" w:color="auto" w:fill="auto"/>
            <w:textDirection w:val="btLr"/>
            <w:vAlign w:val="center"/>
            <w:hideMark/>
          </w:tcPr>
          <w:p w14:paraId="1E6BE4D2"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Cód. Área de Conocimiento</w:t>
            </w:r>
          </w:p>
        </w:tc>
        <w:tc>
          <w:tcPr>
            <w:tcW w:w="1823" w:type="pct"/>
            <w:vMerge w:val="restart"/>
            <w:tcBorders>
              <w:top w:val="single" w:sz="4" w:space="0" w:color="auto"/>
              <w:bottom w:val="single" w:sz="4" w:space="0" w:color="auto"/>
            </w:tcBorders>
            <w:shd w:val="clear" w:color="auto" w:fill="auto"/>
            <w:vAlign w:val="center"/>
            <w:hideMark/>
          </w:tcPr>
          <w:p w14:paraId="2C35FCFE" w14:textId="77777777" w:rsidR="00E76440" w:rsidRPr="00DB754C" w:rsidRDefault="00E76440" w:rsidP="00E76440">
            <w:pPr>
              <w:spacing w:line="360" w:lineRule="auto"/>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Área de Conocimiento</w:t>
            </w:r>
          </w:p>
        </w:tc>
        <w:tc>
          <w:tcPr>
            <w:tcW w:w="2444" w:type="pct"/>
            <w:gridSpan w:val="10"/>
            <w:tcBorders>
              <w:top w:val="single" w:sz="4" w:space="0" w:color="auto"/>
              <w:bottom w:val="single" w:sz="4" w:space="0" w:color="auto"/>
            </w:tcBorders>
            <w:shd w:val="clear" w:color="auto" w:fill="auto"/>
            <w:noWrap/>
            <w:vAlign w:val="center"/>
            <w:hideMark/>
          </w:tcPr>
          <w:p w14:paraId="2E3778A9" w14:textId="77777777" w:rsidR="00E76440" w:rsidRPr="00DB754C" w:rsidRDefault="00E76440" w:rsidP="00E76440">
            <w:pPr>
              <w:spacing w:line="360" w:lineRule="auto"/>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Fuentes de información</w:t>
            </w:r>
          </w:p>
        </w:tc>
        <w:tc>
          <w:tcPr>
            <w:tcW w:w="489" w:type="pct"/>
            <w:gridSpan w:val="2"/>
            <w:vMerge w:val="restart"/>
            <w:tcBorders>
              <w:top w:val="single" w:sz="4" w:space="0" w:color="auto"/>
              <w:bottom w:val="single" w:sz="4" w:space="0" w:color="auto"/>
            </w:tcBorders>
            <w:shd w:val="clear" w:color="auto" w:fill="auto"/>
            <w:textDirection w:val="btLr"/>
            <w:vAlign w:val="center"/>
            <w:hideMark/>
          </w:tcPr>
          <w:p w14:paraId="211CC3D0"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Asignaturas</w:t>
            </w:r>
          </w:p>
        </w:tc>
      </w:tr>
      <w:tr w:rsidR="00DB754C" w:rsidRPr="00DB754C" w14:paraId="45BEF338" w14:textId="77777777" w:rsidTr="00E76440">
        <w:trPr>
          <w:trHeight w:val="1603"/>
          <w:tblHeader/>
        </w:trPr>
        <w:tc>
          <w:tcPr>
            <w:tcW w:w="244" w:type="pct"/>
            <w:vMerge/>
            <w:tcBorders>
              <w:top w:val="nil"/>
              <w:bottom w:val="single" w:sz="4" w:space="0" w:color="auto"/>
            </w:tcBorders>
            <w:shd w:val="clear" w:color="auto" w:fill="auto"/>
            <w:vAlign w:val="center"/>
            <w:hideMark/>
          </w:tcPr>
          <w:p w14:paraId="3792D910" w14:textId="77777777" w:rsidR="00E76440" w:rsidRPr="00DB754C" w:rsidRDefault="00E76440" w:rsidP="00E76440">
            <w:pPr>
              <w:spacing w:line="360" w:lineRule="auto"/>
              <w:jc w:val="center"/>
              <w:rPr>
                <w:rFonts w:ascii="Times New Roman" w:eastAsia="Times New Roman" w:hAnsi="Times New Roman" w:cs="Times New Roman"/>
                <w:b/>
                <w:bCs/>
                <w:color w:val="000000"/>
                <w:sz w:val="22"/>
              </w:rPr>
            </w:pPr>
          </w:p>
        </w:tc>
        <w:tc>
          <w:tcPr>
            <w:tcW w:w="1823" w:type="pct"/>
            <w:vMerge/>
            <w:tcBorders>
              <w:top w:val="nil"/>
              <w:bottom w:val="single" w:sz="4" w:space="0" w:color="auto"/>
            </w:tcBorders>
            <w:shd w:val="clear" w:color="auto" w:fill="auto"/>
            <w:vAlign w:val="center"/>
            <w:hideMark/>
          </w:tcPr>
          <w:p w14:paraId="179E01EC" w14:textId="77777777" w:rsidR="00E76440" w:rsidRPr="00DB754C" w:rsidRDefault="00E76440" w:rsidP="00E76440">
            <w:pPr>
              <w:spacing w:line="360" w:lineRule="auto"/>
              <w:jc w:val="center"/>
              <w:rPr>
                <w:rFonts w:ascii="Times New Roman" w:eastAsia="Times New Roman" w:hAnsi="Times New Roman" w:cs="Times New Roman"/>
                <w:b/>
                <w:bCs/>
                <w:color w:val="000000"/>
                <w:sz w:val="22"/>
              </w:rPr>
            </w:pPr>
          </w:p>
        </w:tc>
        <w:tc>
          <w:tcPr>
            <w:tcW w:w="489" w:type="pct"/>
            <w:gridSpan w:val="2"/>
            <w:tcBorders>
              <w:top w:val="single" w:sz="4" w:space="0" w:color="auto"/>
              <w:bottom w:val="single" w:sz="4" w:space="0" w:color="auto"/>
            </w:tcBorders>
            <w:shd w:val="clear" w:color="auto" w:fill="auto"/>
            <w:textDirection w:val="btLr"/>
            <w:vAlign w:val="center"/>
            <w:hideMark/>
          </w:tcPr>
          <w:p w14:paraId="23BC7CAC"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Funciones</w:t>
            </w:r>
            <w:r w:rsidRPr="00DB754C">
              <w:rPr>
                <w:rFonts w:ascii="Times New Roman" w:eastAsia="Times New Roman" w:hAnsi="Times New Roman" w:cs="Times New Roman"/>
                <w:b/>
                <w:bCs/>
                <w:color w:val="000000"/>
                <w:sz w:val="22"/>
              </w:rPr>
              <w:br/>
              <w:t>USA</w:t>
            </w:r>
          </w:p>
        </w:tc>
        <w:tc>
          <w:tcPr>
            <w:tcW w:w="489" w:type="pct"/>
            <w:gridSpan w:val="2"/>
            <w:tcBorders>
              <w:top w:val="single" w:sz="4" w:space="0" w:color="auto"/>
              <w:bottom w:val="single" w:sz="4" w:space="0" w:color="auto"/>
            </w:tcBorders>
            <w:shd w:val="clear" w:color="auto" w:fill="auto"/>
            <w:textDirection w:val="btLr"/>
            <w:vAlign w:val="center"/>
            <w:hideMark/>
          </w:tcPr>
          <w:p w14:paraId="1107A655"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Funciones</w:t>
            </w:r>
            <w:r w:rsidRPr="00DB754C">
              <w:rPr>
                <w:rFonts w:ascii="Times New Roman" w:eastAsia="Times New Roman" w:hAnsi="Times New Roman" w:cs="Times New Roman"/>
                <w:b/>
                <w:bCs/>
                <w:color w:val="000000"/>
                <w:sz w:val="22"/>
              </w:rPr>
              <w:br/>
              <w:t>Colombia</w:t>
            </w:r>
          </w:p>
        </w:tc>
        <w:tc>
          <w:tcPr>
            <w:tcW w:w="489" w:type="pct"/>
            <w:gridSpan w:val="2"/>
            <w:tcBorders>
              <w:top w:val="single" w:sz="4" w:space="0" w:color="auto"/>
              <w:bottom w:val="single" w:sz="4" w:space="0" w:color="auto"/>
            </w:tcBorders>
            <w:shd w:val="clear" w:color="auto" w:fill="auto"/>
            <w:textDirection w:val="btLr"/>
            <w:vAlign w:val="center"/>
            <w:hideMark/>
          </w:tcPr>
          <w:p w14:paraId="6D84C82B"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Ocupaciones</w:t>
            </w:r>
            <w:r w:rsidRPr="00DB754C">
              <w:rPr>
                <w:rFonts w:ascii="Times New Roman" w:eastAsia="Times New Roman" w:hAnsi="Times New Roman" w:cs="Times New Roman"/>
                <w:b/>
                <w:bCs/>
                <w:color w:val="000000"/>
                <w:sz w:val="22"/>
              </w:rPr>
              <w:br/>
              <w:t>USA</w:t>
            </w:r>
          </w:p>
        </w:tc>
        <w:tc>
          <w:tcPr>
            <w:tcW w:w="489" w:type="pct"/>
            <w:gridSpan w:val="2"/>
            <w:tcBorders>
              <w:top w:val="single" w:sz="4" w:space="0" w:color="auto"/>
              <w:bottom w:val="single" w:sz="4" w:space="0" w:color="auto"/>
            </w:tcBorders>
            <w:shd w:val="clear" w:color="auto" w:fill="auto"/>
            <w:textDirection w:val="btLr"/>
            <w:vAlign w:val="center"/>
            <w:hideMark/>
          </w:tcPr>
          <w:p w14:paraId="1A0009CB"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Ocupaciones</w:t>
            </w:r>
            <w:r w:rsidRPr="00DB754C">
              <w:rPr>
                <w:rFonts w:ascii="Times New Roman" w:eastAsia="Times New Roman" w:hAnsi="Times New Roman" w:cs="Times New Roman"/>
                <w:b/>
                <w:bCs/>
                <w:color w:val="000000"/>
                <w:sz w:val="22"/>
              </w:rPr>
              <w:br/>
              <w:t>Colombia</w:t>
            </w:r>
          </w:p>
        </w:tc>
        <w:tc>
          <w:tcPr>
            <w:tcW w:w="489" w:type="pct"/>
            <w:gridSpan w:val="2"/>
            <w:tcBorders>
              <w:top w:val="single" w:sz="4" w:space="0" w:color="auto"/>
              <w:bottom w:val="single" w:sz="4" w:space="0" w:color="auto"/>
            </w:tcBorders>
            <w:shd w:val="clear" w:color="auto" w:fill="auto"/>
            <w:textDirection w:val="btLr"/>
            <w:vAlign w:val="center"/>
            <w:hideMark/>
          </w:tcPr>
          <w:p w14:paraId="0E846114"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Ofertas laborales</w:t>
            </w:r>
            <w:r w:rsidRPr="00DB754C">
              <w:rPr>
                <w:rFonts w:ascii="Times New Roman" w:eastAsia="Times New Roman" w:hAnsi="Times New Roman" w:cs="Times New Roman"/>
                <w:b/>
                <w:bCs/>
                <w:color w:val="000000"/>
                <w:sz w:val="22"/>
              </w:rPr>
              <w:br/>
              <w:t>Colombia</w:t>
            </w:r>
          </w:p>
        </w:tc>
        <w:tc>
          <w:tcPr>
            <w:tcW w:w="489" w:type="pct"/>
            <w:gridSpan w:val="2"/>
            <w:vMerge/>
            <w:tcBorders>
              <w:top w:val="nil"/>
              <w:bottom w:val="single" w:sz="4" w:space="0" w:color="auto"/>
            </w:tcBorders>
            <w:shd w:val="clear" w:color="auto" w:fill="auto"/>
            <w:textDirection w:val="btLr"/>
            <w:vAlign w:val="center"/>
            <w:hideMark/>
          </w:tcPr>
          <w:p w14:paraId="078CF5D0"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p>
        </w:tc>
      </w:tr>
      <w:tr w:rsidR="00DB754C" w:rsidRPr="00DB754C" w14:paraId="6CD1E5B3" w14:textId="77777777" w:rsidTr="00E76440">
        <w:trPr>
          <w:cantSplit/>
          <w:trHeight w:val="1134"/>
          <w:tblHeader/>
        </w:trPr>
        <w:tc>
          <w:tcPr>
            <w:tcW w:w="244" w:type="pct"/>
            <w:vMerge/>
            <w:tcBorders>
              <w:top w:val="nil"/>
              <w:bottom w:val="single" w:sz="4" w:space="0" w:color="auto"/>
            </w:tcBorders>
            <w:shd w:val="clear" w:color="auto" w:fill="auto"/>
            <w:vAlign w:val="center"/>
            <w:hideMark/>
          </w:tcPr>
          <w:p w14:paraId="49859032" w14:textId="77777777" w:rsidR="00E76440" w:rsidRPr="00DB754C" w:rsidRDefault="00E76440" w:rsidP="00E76440">
            <w:pPr>
              <w:spacing w:line="360" w:lineRule="auto"/>
              <w:jc w:val="center"/>
              <w:rPr>
                <w:rFonts w:ascii="Times New Roman" w:eastAsia="Times New Roman" w:hAnsi="Times New Roman" w:cs="Times New Roman"/>
                <w:b/>
                <w:bCs/>
                <w:color w:val="000000"/>
                <w:sz w:val="22"/>
              </w:rPr>
            </w:pPr>
          </w:p>
        </w:tc>
        <w:tc>
          <w:tcPr>
            <w:tcW w:w="1823" w:type="pct"/>
            <w:vMerge/>
            <w:tcBorders>
              <w:top w:val="nil"/>
              <w:bottom w:val="single" w:sz="4" w:space="0" w:color="auto"/>
            </w:tcBorders>
            <w:shd w:val="clear" w:color="auto" w:fill="auto"/>
            <w:vAlign w:val="center"/>
            <w:hideMark/>
          </w:tcPr>
          <w:p w14:paraId="23F9BABD" w14:textId="77777777" w:rsidR="00E76440" w:rsidRPr="00DB754C" w:rsidRDefault="00E76440" w:rsidP="00E76440">
            <w:pPr>
              <w:spacing w:line="360" w:lineRule="auto"/>
              <w:jc w:val="center"/>
              <w:rPr>
                <w:rFonts w:ascii="Times New Roman" w:eastAsia="Times New Roman" w:hAnsi="Times New Roman" w:cs="Times New Roman"/>
                <w:b/>
                <w:bCs/>
                <w:color w:val="000000"/>
                <w:sz w:val="22"/>
              </w:rPr>
            </w:pPr>
          </w:p>
        </w:tc>
        <w:tc>
          <w:tcPr>
            <w:tcW w:w="244" w:type="pct"/>
            <w:tcBorders>
              <w:top w:val="single" w:sz="4" w:space="0" w:color="auto"/>
              <w:bottom w:val="single" w:sz="4" w:space="0" w:color="auto"/>
            </w:tcBorders>
            <w:shd w:val="clear" w:color="auto" w:fill="auto"/>
            <w:textDirection w:val="btLr"/>
            <w:vAlign w:val="center"/>
            <w:hideMark/>
          </w:tcPr>
          <w:p w14:paraId="3E7D9FB4"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w:t>
            </w:r>
          </w:p>
        </w:tc>
        <w:tc>
          <w:tcPr>
            <w:tcW w:w="244" w:type="pct"/>
            <w:tcBorders>
              <w:top w:val="single" w:sz="4" w:space="0" w:color="auto"/>
              <w:bottom w:val="single" w:sz="4" w:space="0" w:color="auto"/>
            </w:tcBorders>
            <w:shd w:val="clear" w:color="auto" w:fill="auto"/>
            <w:textDirection w:val="btLr"/>
            <w:vAlign w:val="center"/>
            <w:hideMark/>
          </w:tcPr>
          <w:p w14:paraId="74649B52"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Ranking</w:t>
            </w:r>
          </w:p>
        </w:tc>
        <w:tc>
          <w:tcPr>
            <w:tcW w:w="244" w:type="pct"/>
            <w:tcBorders>
              <w:top w:val="single" w:sz="4" w:space="0" w:color="auto"/>
              <w:bottom w:val="single" w:sz="4" w:space="0" w:color="auto"/>
            </w:tcBorders>
            <w:shd w:val="clear" w:color="auto" w:fill="auto"/>
            <w:textDirection w:val="btLr"/>
            <w:vAlign w:val="center"/>
            <w:hideMark/>
          </w:tcPr>
          <w:p w14:paraId="52A79E4F"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w:t>
            </w:r>
          </w:p>
        </w:tc>
        <w:tc>
          <w:tcPr>
            <w:tcW w:w="244" w:type="pct"/>
            <w:tcBorders>
              <w:top w:val="single" w:sz="4" w:space="0" w:color="auto"/>
              <w:bottom w:val="single" w:sz="4" w:space="0" w:color="auto"/>
            </w:tcBorders>
            <w:shd w:val="clear" w:color="auto" w:fill="auto"/>
            <w:textDirection w:val="btLr"/>
            <w:vAlign w:val="center"/>
            <w:hideMark/>
          </w:tcPr>
          <w:p w14:paraId="037130EB"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Ranking</w:t>
            </w:r>
          </w:p>
        </w:tc>
        <w:tc>
          <w:tcPr>
            <w:tcW w:w="244" w:type="pct"/>
            <w:tcBorders>
              <w:top w:val="single" w:sz="4" w:space="0" w:color="auto"/>
              <w:bottom w:val="single" w:sz="4" w:space="0" w:color="auto"/>
            </w:tcBorders>
            <w:shd w:val="clear" w:color="auto" w:fill="auto"/>
            <w:textDirection w:val="btLr"/>
            <w:vAlign w:val="center"/>
            <w:hideMark/>
          </w:tcPr>
          <w:p w14:paraId="286E5049"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w:t>
            </w:r>
          </w:p>
        </w:tc>
        <w:tc>
          <w:tcPr>
            <w:tcW w:w="244" w:type="pct"/>
            <w:tcBorders>
              <w:top w:val="single" w:sz="4" w:space="0" w:color="auto"/>
              <w:bottom w:val="single" w:sz="4" w:space="0" w:color="auto"/>
            </w:tcBorders>
            <w:shd w:val="clear" w:color="auto" w:fill="auto"/>
            <w:textDirection w:val="btLr"/>
            <w:vAlign w:val="center"/>
            <w:hideMark/>
          </w:tcPr>
          <w:p w14:paraId="2B0ABABE"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Ranking</w:t>
            </w:r>
          </w:p>
        </w:tc>
        <w:tc>
          <w:tcPr>
            <w:tcW w:w="244" w:type="pct"/>
            <w:tcBorders>
              <w:top w:val="single" w:sz="4" w:space="0" w:color="auto"/>
              <w:bottom w:val="single" w:sz="4" w:space="0" w:color="auto"/>
            </w:tcBorders>
            <w:shd w:val="clear" w:color="auto" w:fill="auto"/>
            <w:textDirection w:val="btLr"/>
            <w:vAlign w:val="center"/>
            <w:hideMark/>
          </w:tcPr>
          <w:p w14:paraId="55AAC3AB"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w:t>
            </w:r>
          </w:p>
        </w:tc>
        <w:tc>
          <w:tcPr>
            <w:tcW w:w="244" w:type="pct"/>
            <w:tcBorders>
              <w:top w:val="single" w:sz="4" w:space="0" w:color="auto"/>
              <w:bottom w:val="single" w:sz="4" w:space="0" w:color="auto"/>
            </w:tcBorders>
            <w:shd w:val="clear" w:color="auto" w:fill="auto"/>
            <w:textDirection w:val="btLr"/>
            <w:vAlign w:val="center"/>
            <w:hideMark/>
          </w:tcPr>
          <w:p w14:paraId="13215D40"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Ranking</w:t>
            </w:r>
          </w:p>
        </w:tc>
        <w:tc>
          <w:tcPr>
            <w:tcW w:w="244" w:type="pct"/>
            <w:tcBorders>
              <w:top w:val="single" w:sz="4" w:space="0" w:color="auto"/>
              <w:bottom w:val="single" w:sz="4" w:space="0" w:color="auto"/>
            </w:tcBorders>
            <w:shd w:val="clear" w:color="auto" w:fill="auto"/>
            <w:textDirection w:val="btLr"/>
            <w:vAlign w:val="center"/>
            <w:hideMark/>
          </w:tcPr>
          <w:p w14:paraId="020329D5"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w:t>
            </w:r>
          </w:p>
        </w:tc>
        <w:tc>
          <w:tcPr>
            <w:tcW w:w="244" w:type="pct"/>
            <w:tcBorders>
              <w:top w:val="single" w:sz="4" w:space="0" w:color="auto"/>
              <w:bottom w:val="single" w:sz="4" w:space="0" w:color="auto"/>
            </w:tcBorders>
            <w:shd w:val="clear" w:color="auto" w:fill="auto"/>
            <w:textDirection w:val="btLr"/>
            <w:vAlign w:val="center"/>
            <w:hideMark/>
          </w:tcPr>
          <w:p w14:paraId="4E689217"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Ranking</w:t>
            </w:r>
          </w:p>
        </w:tc>
        <w:tc>
          <w:tcPr>
            <w:tcW w:w="244" w:type="pct"/>
            <w:tcBorders>
              <w:top w:val="single" w:sz="4" w:space="0" w:color="auto"/>
              <w:bottom w:val="single" w:sz="4" w:space="0" w:color="auto"/>
            </w:tcBorders>
            <w:shd w:val="clear" w:color="auto" w:fill="auto"/>
            <w:textDirection w:val="btLr"/>
            <w:vAlign w:val="center"/>
            <w:hideMark/>
          </w:tcPr>
          <w:p w14:paraId="1CB961AA"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w:t>
            </w:r>
          </w:p>
        </w:tc>
        <w:tc>
          <w:tcPr>
            <w:tcW w:w="244" w:type="pct"/>
            <w:tcBorders>
              <w:top w:val="single" w:sz="4" w:space="0" w:color="auto"/>
              <w:bottom w:val="single" w:sz="4" w:space="0" w:color="auto"/>
            </w:tcBorders>
            <w:shd w:val="clear" w:color="auto" w:fill="auto"/>
            <w:textDirection w:val="btLr"/>
            <w:vAlign w:val="center"/>
            <w:hideMark/>
          </w:tcPr>
          <w:p w14:paraId="0EE4710E" w14:textId="77777777" w:rsidR="00E76440" w:rsidRPr="00DB754C" w:rsidRDefault="00E76440" w:rsidP="00E76440">
            <w:pPr>
              <w:spacing w:line="360" w:lineRule="auto"/>
              <w:ind w:left="113" w:right="113"/>
              <w:jc w:val="center"/>
              <w:rPr>
                <w:rFonts w:ascii="Times New Roman" w:eastAsia="Times New Roman" w:hAnsi="Times New Roman" w:cs="Times New Roman"/>
                <w:b/>
                <w:bCs/>
                <w:color w:val="000000"/>
                <w:sz w:val="22"/>
              </w:rPr>
            </w:pPr>
            <w:r w:rsidRPr="00DB754C">
              <w:rPr>
                <w:rFonts w:ascii="Times New Roman" w:eastAsia="Times New Roman" w:hAnsi="Times New Roman" w:cs="Times New Roman"/>
                <w:b/>
                <w:bCs/>
                <w:color w:val="000000"/>
                <w:sz w:val="22"/>
              </w:rPr>
              <w:t>Ranking</w:t>
            </w:r>
          </w:p>
        </w:tc>
      </w:tr>
      <w:tr w:rsidR="00DB754C" w:rsidRPr="00DB754C" w14:paraId="07882BE8" w14:textId="77777777" w:rsidTr="00E76440">
        <w:trPr>
          <w:trHeight w:val="300"/>
        </w:trPr>
        <w:tc>
          <w:tcPr>
            <w:tcW w:w="244" w:type="pct"/>
            <w:tcBorders>
              <w:top w:val="single" w:sz="4" w:space="0" w:color="auto"/>
            </w:tcBorders>
            <w:shd w:val="clear" w:color="auto" w:fill="auto"/>
            <w:noWrap/>
            <w:vAlign w:val="center"/>
            <w:hideMark/>
          </w:tcPr>
          <w:p w14:paraId="4B65E60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1823" w:type="pct"/>
            <w:tcBorders>
              <w:top w:val="single" w:sz="4" w:space="0" w:color="auto"/>
            </w:tcBorders>
            <w:shd w:val="clear" w:color="auto" w:fill="auto"/>
            <w:noWrap/>
            <w:vAlign w:val="center"/>
            <w:hideMark/>
          </w:tcPr>
          <w:p w14:paraId="1F36B13A"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Diseño y medición del trabajo</w:t>
            </w:r>
          </w:p>
        </w:tc>
        <w:tc>
          <w:tcPr>
            <w:tcW w:w="244" w:type="pct"/>
            <w:tcBorders>
              <w:top w:val="single" w:sz="4" w:space="0" w:color="auto"/>
            </w:tcBorders>
            <w:shd w:val="clear" w:color="auto" w:fill="auto"/>
            <w:noWrap/>
            <w:vAlign w:val="center"/>
            <w:hideMark/>
          </w:tcPr>
          <w:p w14:paraId="1039BC4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tcBorders>
              <w:top w:val="single" w:sz="4" w:space="0" w:color="auto"/>
            </w:tcBorders>
            <w:shd w:val="clear" w:color="auto" w:fill="auto"/>
            <w:noWrap/>
            <w:vAlign w:val="center"/>
            <w:hideMark/>
          </w:tcPr>
          <w:p w14:paraId="11F8270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17</w:t>
            </w:r>
          </w:p>
        </w:tc>
        <w:tc>
          <w:tcPr>
            <w:tcW w:w="244" w:type="pct"/>
            <w:tcBorders>
              <w:top w:val="single" w:sz="4" w:space="0" w:color="auto"/>
            </w:tcBorders>
            <w:shd w:val="clear" w:color="auto" w:fill="auto"/>
            <w:noWrap/>
            <w:vAlign w:val="center"/>
            <w:hideMark/>
          </w:tcPr>
          <w:p w14:paraId="77FE762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tcBorders>
              <w:top w:val="single" w:sz="4" w:space="0" w:color="auto"/>
            </w:tcBorders>
            <w:shd w:val="clear" w:color="auto" w:fill="auto"/>
            <w:noWrap/>
            <w:vAlign w:val="center"/>
            <w:hideMark/>
          </w:tcPr>
          <w:p w14:paraId="7807E05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16</w:t>
            </w:r>
          </w:p>
        </w:tc>
        <w:tc>
          <w:tcPr>
            <w:tcW w:w="244" w:type="pct"/>
            <w:tcBorders>
              <w:top w:val="single" w:sz="4" w:space="0" w:color="auto"/>
            </w:tcBorders>
            <w:shd w:val="clear" w:color="auto" w:fill="auto"/>
            <w:noWrap/>
            <w:vAlign w:val="center"/>
            <w:hideMark/>
          </w:tcPr>
          <w:p w14:paraId="6135E3D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tcBorders>
              <w:top w:val="single" w:sz="4" w:space="0" w:color="auto"/>
            </w:tcBorders>
            <w:shd w:val="clear" w:color="auto" w:fill="auto"/>
            <w:noWrap/>
            <w:vAlign w:val="center"/>
            <w:hideMark/>
          </w:tcPr>
          <w:p w14:paraId="6B72632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18</w:t>
            </w:r>
          </w:p>
        </w:tc>
        <w:tc>
          <w:tcPr>
            <w:tcW w:w="244" w:type="pct"/>
            <w:tcBorders>
              <w:top w:val="single" w:sz="4" w:space="0" w:color="auto"/>
            </w:tcBorders>
            <w:shd w:val="clear" w:color="auto" w:fill="auto"/>
            <w:noWrap/>
            <w:vAlign w:val="center"/>
            <w:hideMark/>
          </w:tcPr>
          <w:p w14:paraId="1E53BEC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tcBorders>
              <w:top w:val="single" w:sz="4" w:space="0" w:color="auto"/>
            </w:tcBorders>
            <w:shd w:val="clear" w:color="auto" w:fill="auto"/>
            <w:noWrap/>
            <w:vAlign w:val="center"/>
            <w:hideMark/>
          </w:tcPr>
          <w:p w14:paraId="0DCA442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18</w:t>
            </w:r>
          </w:p>
        </w:tc>
        <w:tc>
          <w:tcPr>
            <w:tcW w:w="244" w:type="pct"/>
            <w:tcBorders>
              <w:top w:val="single" w:sz="4" w:space="0" w:color="auto"/>
            </w:tcBorders>
            <w:shd w:val="clear" w:color="auto" w:fill="auto"/>
            <w:noWrap/>
            <w:vAlign w:val="center"/>
            <w:hideMark/>
          </w:tcPr>
          <w:p w14:paraId="23A4D1E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tcBorders>
              <w:top w:val="single" w:sz="4" w:space="0" w:color="auto"/>
            </w:tcBorders>
            <w:shd w:val="clear" w:color="auto" w:fill="auto"/>
            <w:noWrap/>
            <w:vAlign w:val="center"/>
            <w:hideMark/>
          </w:tcPr>
          <w:p w14:paraId="05144C1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14</w:t>
            </w:r>
          </w:p>
        </w:tc>
        <w:tc>
          <w:tcPr>
            <w:tcW w:w="244" w:type="pct"/>
            <w:tcBorders>
              <w:top w:val="single" w:sz="4" w:space="0" w:color="auto"/>
            </w:tcBorders>
            <w:shd w:val="clear" w:color="auto" w:fill="auto"/>
            <w:noWrap/>
            <w:vAlign w:val="center"/>
            <w:hideMark/>
          </w:tcPr>
          <w:p w14:paraId="76B75C9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tcBorders>
              <w:top w:val="single" w:sz="4" w:space="0" w:color="auto"/>
            </w:tcBorders>
            <w:shd w:val="clear" w:color="auto" w:fill="auto"/>
            <w:noWrap/>
            <w:vAlign w:val="center"/>
            <w:hideMark/>
          </w:tcPr>
          <w:p w14:paraId="736868C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r>
      <w:tr w:rsidR="00DB754C" w:rsidRPr="00DB754C" w14:paraId="3E0A75C3" w14:textId="77777777" w:rsidTr="00E76440">
        <w:trPr>
          <w:trHeight w:val="300"/>
        </w:trPr>
        <w:tc>
          <w:tcPr>
            <w:tcW w:w="244" w:type="pct"/>
            <w:shd w:val="clear" w:color="auto" w:fill="auto"/>
            <w:noWrap/>
            <w:vAlign w:val="center"/>
            <w:hideMark/>
          </w:tcPr>
          <w:p w14:paraId="0E090AC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1823" w:type="pct"/>
            <w:shd w:val="clear" w:color="auto" w:fill="auto"/>
            <w:noWrap/>
            <w:vAlign w:val="center"/>
            <w:hideMark/>
          </w:tcPr>
          <w:p w14:paraId="0BEEF6D8"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Investigación y análisis de operaciones</w:t>
            </w:r>
          </w:p>
        </w:tc>
        <w:tc>
          <w:tcPr>
            <w:tcW w:w="244" w:type="pct"/>
            <w:shd w:val="clear" w:color="auto" w:fill="auto"/>
            <w:noWrap/>
            <w:vAlign w:val="center"/>
            <w:hideMark/>
          </w:tcPr>
          <w:p w14:paraId="698076B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00561CF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16</w:t>
            </w:r>
          </w:p>
        </w:tc>
        <w:tc>
          <w:tcPr>
            <w:tcW w:w="244" w:type="pct"/>
            <w:shd w:val="clear" w:color="auto" w:fill="auto"/>
            <w:noWrap/>
            <w:vAlign w:val="center"/>
            <w:hideMark/>
          </w:tcPr>
          <w:p w14:paraId="02A1560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026EAD9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18</w:t>
            </w:r>
          </w:p>
        </w:tc>
        <w:tc>
          <w:tcPr>
            <w:tcW w:w="244" w:type="pct"/>
            <w:shd w:val="clear" w:color="auto" w:fill="auto"/>
            <w:noWrap/>
            <w:vAlign w:val="center"/>
            <w:hideMark/>
          </w:tcPr>
          <w:p w14:paraId="6B05D6D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5A1049D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244" w:type="pct"/>
            <w:shd w:val="clear" w:color="auto" w:fill="auto"/>
            <w:noWrap/>
            <w:vAlign w:val="center"/>
            <w:hideMark/>
          </w:tcPr>
          <w:p w14:paraId="3DECA64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AB3B2F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1AE6221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09B5F30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2439B30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5496F38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r>
      <w:tr w:rsidR="00DB754C" w:rsidRPr="00DB754C" w14:paraId="115AE426" w14:textId="77777777" w:rsidTr="00E76440">
        <w:trPr>
          <w:trHeight w:val="300"/>
        </w:trPr>
        <w:tc>
          <w:tcPr>
            <w:tcW w:w="244" w:type="pct"/>
            <w:shd w:val="clear" w:color="auto" w:fill="auto"/>
            <w:noWrap/>
            <w:vAlign w:val="center"/>
            <w:hideMark/>
          </w:tcPr>
          <w:p w14:paraId="3254984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1823" w:type="pct"/>
            <w:shd w:val="clear" w:color="auto" w:fill="auto"/>
            <w:noWrap/>
            <w:vAlign w:val="center"/>
            <w:hideMark/>
          </w:tcPr>
          <w:p w14:paraId="7261A3FE"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Análisis económico de ingeniería</w:t>
            </w:r>
          </w:p>
        </w:tc>
        <w:tc>
          <w:tcPr>
            <w:tcW w:w="244" w:type="pct"/>
            <w:shd w:val="clear" w:color="auto" w:fill="auto"/>
            <w:noWrap/>
            <w:vAlign w:val="center"/>
            <w:hideMark/>
          </w:tcPr>
          <w:p w14:paraId="26DD31D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20%</w:t>
            </w:r>
          </w:p>
        </w:tc>
        <w:tc>
          <w:tcPr>
            <w:tcW w:w="244" w:type="pct"/>
            <w:shd w:val="clear" w:color="auto" w:fill="auto"/>
            <w:noWrap/>
            <w:vAlign w:val="center"/>
            <w:hideMark/>
          </w:tcPr>
          <w:p w14:paraId="0ECD2A8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6FE4F30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3D4B3A2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0A033E2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25%</w:t>
            </w:r>
          </w:p>
        </w:tc>
        <w:tc>
          <w:tcPr>
            <w:tcW w:w="244" w:type="pct"/>
            <w:shd w:val="clear" w:color="auto" w:fill="auto"/>
            <w:noWrap/>
            <w:vAlign w:val="center"/>
            <w:hideMark/>
          </w:tcPr>
          <w:p w14:paraId="3973BF9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288A263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56E94A2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4ECE6DC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6056E45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0083483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19%</w:t>
            </w:r>
          </w:p>
        </w:tc>
        <w:tc>
          <w:tcPr>
            <w:tcW w:w="244" w:type="pct"/>
            <w:shd w:val="clear" w:color="auto" w:fill="auto"/>
            <w:noWrap/>
            <w:vAlign w:val="center"/>
            <w:hideMark/>
          </w:tcPr>
          <w:p w14:paraId="4775E83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r>
      <w:tr w:rsidR="00DB754C" w:rsidRPr="00DB754C" w14:paraId="2A5850BA" w14:textId="77777777" w:rsidTr="00E76440">
        <w:trPr>
          <w:trHeight w:val="300"/>
        </w:trPr>
        <w:tc>
          <w:tcPr>
            <w:tcW w:w="244" w:type="pct"/>
            <w:shd w:val="clear" w:color="auto" w:fill="auto"/>
            <w:noWrap/>
            <w:vAlign w:val="center"/>
            <w:hideMark/>
          </w:tcPr>
          <w:p w14:paraId="66EF340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1823" w:type="pct"/>
            <w:shd w:val="clear" w:color="auto" w:fill="auto"/>
            <w:noWrap/>
            <w:vAlign w:val="center"/>
            <w:hideMark/>
          </w:tcPr>
          <w:p w14:paraId="01AC19E3"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Ingeniería de instalaciones y gestión energética</w:t>
            </w:r>
          </w:p>
        </w:tc>
        <w:tc>
          <w:tcPr>
            <w:tcW w:w="244" w:type="pct"/>
            <w:shd w:val="clear" w:color="auto" w:fill="auto"/>
            <w:noWrap/>
            <w:vAlign w:val="center"/>
            <w:hideMark/>
          </w:tcPr>
          <w:p w14:paraId="4269BA0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6D13ABD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14</w:t>
            </w:r>
          </w:p>
        </w:tc>
        <w:tc>
          <w:tcPr>
            <w:tcW w:w="244" w:type="pct"/>
            <w:shd w:val="clear" w:color="auto" w:fill="auto"/>
            <w:noWrap/>
            <w:vAlign w:val="center"/>
            <w:hideMark/>
          </w:tcPr>
          <w:p w14:paraId="26B33DA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4551098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244" w:type="pct"/>
            <w:shd w:val="clear" w:color="auto" w:fill="auto"/>
            <w:noWrap/>
            <w:vAlign w:val="center"/>
            <w:hideMark/>
          </w:tcPr>
          <w:p w14:paraId="50E691E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877FDF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16</w:t>
            </w:r>
          </w:p>
        </w:tc>
        <w:tc>
          <w:tcPr>
            <w:tcW w:w="244" w:type="pct"/>
            <w:shd w:val="clear" w:color="auto" w:fill="auto"/>
            <w:noWrap/>
            <w:vAlign w:val="center"/>
            <w:hideMark/>
          </w:tcPr>
          <w:p w14:paraId="6E55FB2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73905FD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c>
          <w:tcPr>
            <w:tcW w:w="244" w:type="pct"/>
            <w:shd w:val="clear" w:color="auto" w:fill="auto"/>
            <w:noWrap/>
            <w:vAlign w:val="center"/>
            <w:hideMark/>
          </w:tcPr>
          <w:p w14:paraId="04B93A6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510375E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0CCE5CD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63CC294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r>
      <w:tr w:rsidR="00DB754C" w:rsidRPr="00DB754C" w14:paraId="34EF5A86" w14:textId="77777777" w:rsidTr="00E76440">
        <w:trPr>
          <w:trHeight w:val="300"/>
        </w:trPr>
        <w:tc>
          <w:tcPr>
            <w:tcW w:w="244" w:type="pct"/>
            <w:shd w:val="clear" w:color="auto" w:fill="auto"/>
            <w:noWrap/>
            <w:vAlign w:val="center"/>
            <w:hideMark/>
          </w:tcPr>
          <w:p w14:paraId="191DB16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1823" w:type="pct"/>
            <w:shd w:val="clear" w:color="auto" w:fill="auto"/>
            <w:noWrap/>
            <w:vAlign w:val="center"/>
            <w:hideMark/>
          </w:tcPr>
          <w:p w14:paraId="232CBC34"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Ingeniería de calidad y confiabilidad</w:t>
            </w:r>
          </w:p>
        </w:tc>
        <w:tc>
          <w:tcPr>
            <w:tcW w:w="244" w:type="pct"/>
            <w:shd w:val="clear" w:color="auto" w:fill="auto"/>
            <w:noWrap/>
            <w:vAlign w:val="center"/>
            <w:hideMark/>
          </w:tcPr>
          <w:p w14:paraId="063CD84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6742F1C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0E41C65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0C62E52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48FDD21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4C70F2A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2418C82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65C36CD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15324FF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4631850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74C8308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3EFAC1F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r>
      <w:tr w:rsidR="00DB754C" w:rsidRPr="00DB754C" w14:paraId="31B9AF9C" w14:textId="77777777" w:rsidTr="00E76440">
        <w:trPr>
          <w:trHeight w:val="300"/>
        </w:trPr>
        <w:tc>
          <w:tcPr>
            <w:tcW w:w="244" w:type="pct"/>
            <w:shd w:val="clear" w:color="auto" w:fill="auto"/>
            <w:noWrap/>
            <w:vAlign w:val="center"/>
            <w:hideMark/>
          </w:tcPr>
          <w:p w14:paraId="5D7098F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1823" w:type="pct"/>
            <w:shd w:val="clear" w:color="auto" w:fill="auto"/>
            <w:noWrap/>
            <w:vAlign w:val="center"/>
            <w:hideMark/>
          </w:tcPr>
          <w:p w14:paraId="43A88D0D"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Ergonomía y factores humanos</w:t>
            </w:r>
          </w:p>
        </w:tc>
        <w:tc>
          <w:tcPr>
            <w:tcW w:w="244" w:type="pct"/>
            <w:shd w:val="clear" w:color="auto" w:fill="auto"/>
            <w:noWrap/>
            <w:vAlign w:val="center"/>
            <w:hideMark/>
          </w:tcPr>
          <w:p w14:paraId="3437FF5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634BA1B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6787E60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638FD69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19</w:t>
            </w:r>
          </w:p>
        </w:tc>
        <w:tc>
          <w:tcPr>
            <w:tcW w:w="244" w:type="pct"/>
            <w:shd w:val="clear" w:color="auto" w:fill="auto"/>
            <w:noWrap/>
            <w:vAlign w:val="center"/>
            <w:hideMark/>
          </w:tcPr>
          <w:p w14:paraId="2027F5A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38072A1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c>
          <w:tcPr>
            <w:tcW w:w="244" w:type="pct"/>
            <w:shd w:val="clear" w:color="auto" w:fill="auto"/>
            <w:noWrap/>
            <w:vAlign w:val="center"/>
            <w:hideMark/>
          </w:tcPr>
          <w:p w14:paraId="05E6467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6E2B019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16</w:t>
            </w:r>
          </w:p>
        </w:tc>
        <w:tc>
          <w:tcPr>
            <w:tcW w:w="244" w:type="pct"/>
            <w:shd w:val="clear" w:color="auto" w:fill="auto"/>
            <w:noWrap/>
            <w:vAlign w:val="center"/>
            <w:hideMark/>
          </w:tcPr>
          <w:p w14:paraId="02E942C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49B3408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16</w:t>
            </w:r>
          </w:p>
        </w:tc>
        <w:tc>
          <w:tcPr>
            <w:tcW w:w="244" w:type="pct"/>
            <w:shd w:val="clear" w:color="auto" w:fill="auto"/>
            <w:noWrap/>
            <w:vAlign w:val="center"/>
            <w:hideMark/>
          </w:tcPr>
          <w:p w14:paraId="7CBF676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55EE4AD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16</w:t>
            </w:r>
          </w:p>
        </w:tc>
      </w:tr>
      <w:tr w:rsidR="00DB754C" w:rsidRPr="00DB754C" w14:paraId="58A30062" w14:textId="77777777" w:rsidTr="00E76440">
        <w:trPr>
          <w:trHeight w:val="300"/>
        </w:trPr>
        <w:tc>
          <w:tcPr>
            <w:tcW w:w="244" w:type="pct"/>
            <w:shd w:val="clear" w:color="auto" w:fill="auto"/>
            <w:noWrap/>
            <w:vAlign w:val="center"/>
            <w:hideMark/>
          </w:tcPr>
          <w:p w14:paraId="3B92D28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1823" w:type="pct"/>
            <w:shd w:val="clear" w:color="auto" w:fill="auto"/>
            <w:noWrap/>
            <w:vAlign w:val="center"/>
            <w:hideMark/>
          </w:tcPr>
          <w:p w14:paraId="0AA3839A"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Ingeniería y gestión de operaciones</w:t>
            </w:r>
          </w:p>
        </w:tc>
        <w:tc>
          <w:tcPr>
            <w:tcW w:w="244" w:type="pct"/>
            <w:shd w:val="clear" w:color="auto" w:fill="auto"/>
            <w:noWrap/>
            <w:vAlign w:val="center"/>
            <w:hideMark/>
          </w:tcPr>
          <w:p w14:paraId="3DFC566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244" w:type="pct"/>
            <w:shd w:val="clear" w:color="auto" w:fill="auto"/>
            <w:noWrap/>
            <w:vAlign w:val="center"/>
            <w:hideMark/>
          </w:tcPr>
          <w:p w14:paraId="148B94B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49D6295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26%</w:t>
            </w:r>
          </w:p>
        </w:tc>
        <w:tc>
          <w:tcPr>
            <w:tcW w:w="244" w:type="pct"/>
            <w:shd w:val="clear" w:color="auto" w:fill="auto"/>
            <w:noWrap/>
            <w:vAlign w:val="center"/>
            <w:hideMark/>
          </w:tcPr>
          <w:p w14:paraId="37FDEE0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23A0D46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6C00B7F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729FB04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43%</w:t>
            </w:r>
          </w:p>
        </w:tc>
        <w:tc>
          <w:tcPr>
            <w:tcW w:w="244" w:type="pct"/>
            <w:shd w:val="clear" w:color="auto" w:fill="auto"/>
            <w:noWrap/>
            <w:vAlign w:val="center"/>
            <w:hideMark/>
          </w:tcPr>
          <w:p w14:paraId="7339F9A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122AF9C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15BDCC4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2D523FA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476068D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r>
      <w:tr w:rsidR="00DB754C" w:rsidRPr="00DB754C" w14:paraId="3355C46A" w14:textId="77777777" w:rsidTr="00E76440">
        <w:trPr>
          <w:trHeight w:val="300"/>
        </w:trPr>
        <w:tc>
          <w:tcPr>
            <w:tcW w:w="244" w:type="pct"/>
            <w:shd w:val="clear" w:color="auto" w:fill="auto"/>
            <w:noWrap/>
            <w:vAlign w:val="center"/>
            <w:hideMark/>
          </w:tcPr>
          <w:p w14:paraId="0052883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1823" w:type="pct"/>
            <w:shd w:val="clear" w:color="auto" w:fill="auto"/>
            <w:noWrap/>
            <w:vAlign w:val="center"/>
            <w:hideMark/>
          </w:tcPr>
          <w:p w14:paraId="794187CA"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Gestión de la cadena de suministro</w:t>
            </w:r>
          </w:p>
        </w:tc>
        <w:tc>
          <w:tcPr>
            <w:tcW w:w="244" w:type="pct"/>
            <w:shd w:val="clear" w:color="auto" w:fill="auto"/>
            <w:noWrap/>
            <w:vAlign w:val="center"/>
            <w:hideMark/>
          </w:tcPr>
          <w:p w14:paraId="6203455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32883E0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2FC04C1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7F33D50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027FB8F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244" w:type="pct"/>
            <w:shd w:val="clear" w:color="auto" w:fill="auto"/>
            <w:noWrap/>
            <w:vAlign w:val="center"/>
            <w:hideMark/>
          </w:tcPr>
          <w:p w14:paraId="78E6E24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4C83606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671689E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66B5B3D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63C042A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c>
          <w:tcPr>
            <w:tcW w:w="244" w:type="pct"/>
            <w:shd w:val="clear" w:color="auto" w:fill="auto"/>
            <w:noWrap/>
            <w:vAlign w:val="center"/>
            <w:hideMark/>
          </w:tcPr>
          <w:p w14:paraId="61C9BF7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13C2CD9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r>
      <w:tr w:rsidR="00DB754C" w:rsidRPr="00DB754C" w14:paraId="13AC3C83" w14:textId="77777777" w:rsidTr="00E76440">
        <w:trPr>
          <w:trHeight w:val="300"/>
        </w:trPr>
        <w:tc>
          <w:tcPr>
            <w:tcW w:w="244" w:type="pct"/>
            <w:shd w:val="clear" w:color="auto" w:fill="auto"/>
            <w:noWrap/>
            <w:vAlign w:val="center"/>
            <w:hideMark/>
          </w:tcPr>
          <w:p w14:paraId="7C5CF6F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9,1</w:t>
            </w:r>
          </w:p>
        </w:tc>
        <w:tc>
          <w:tcPr>
            <w:tcW w:w="1823" w:type="pct"/>
            <w:shd w:val="clear" w:color="auto" w:fill="auto"/>
            <w:noWrap/>
            <w:vAlign w:val="center"/>
            <w:hideMark/>
          </w:tcPr>
          <w:p w14:paraId="157A4CA0"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Enfoque al cliente</w:t>
            </w:r>
          </w:p>
        </w:tc>
        <w:tc>
          <w:tcPr>
            <w:tcW w:w="244" w:type="pct"/>
            <w:shd w:val="clear" w:color="auto" w:fill="auto"/>
            <w:noWrap/>
            <w:vAlign w:val="center"/>
            <w:hideMark/>
          </w:tcPr>
          <w:p w14:paraId="0FDA5E4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475FC6E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405F329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1F25739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7ACF8D4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244" w:type="pct"/>
            <w:shd w:val="clear" w:color="auto" w:fill="auto"/>
            <w:noWrap/>
            <w:vAlign w:val="center"/>
            <w:hideMark/>
          </w:tcPr>
          <w:p w14:paraId="076B52C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3B52831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677AEB8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71AB924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49%</w:t>
            </w:r>
          </w:p>
        </w:tc>
        <w:tc>
          <w:tcPr>
            <w:tcW w:w="244" w:type="pct"/>
            <w:shd w:val="clear" w:color="auto" w:fill="auto"/>
            <w:noWrap/>
            <w:vAlign w:val="center"/>
            <w:hideMark/>
          </w:tcPr>
          <w:p w14:paraId="5E16C87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2B164D6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11A575F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r>
      <w:tr w:rsidR="00DB754C" w:rsidRPr="00DB754C" w14:paraId="1AD44F0C" w14:textId="77777777" w:rsidTr="00E76440">
        <w:trPr>
          <w:trHeight w:val="300"/>
        </w:trPr>
        <w:tc>
          <w:tcPr>
            <w:tcW w:w="244" w:type="pct"/>
            <w:shd w:val="clear" w:color="auto" w:fill="auto"/>
            <w:noWrap/>
            <w:vAlign w:val="center"/>
            <w:hideMark/>
          </w:tcPr>
          <w:p w14:paraId="519A19A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9,2</w:t>
            </w:r>
          </w:p>
        </w:tc>
        <w:tc>
          <w:tcPr>
            <w:tcW w:w="1823" w:type="pct"/>
            <w:shd w:val="clear" w:color="auto" w:fill="auto"/>
            <w:noWrap/>
            <w:vAlign w:val="center"/>
            <w:hideMark/>
          </w:tcPr>
          <w:p w14:paraId="1FD6C7A7"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Liderazgo, trabajo en equipo y organización</w:t>
            </w:r>
          </w:p>
        </w:tc>
        <w:tc>
          <w:tcPr>
            <w:tcW w:w="244" w:type="pct"/>
            <w:shd w:val="clear" w:color="auto" w:fill="auto"/>
            <w:noWrap/>
            <w:vAlign w:val="center"/>
            <w:hideMark/>
          </w:tcPr>
          <w:p w14:paraId="0DB61D0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1E8524D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74E3DB0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64572E0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7F8CC3B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563C234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5C22742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30CF8ED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25A83D5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42467EB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244" w:type="pct"/>
            <w:shd w:val="clear" w:color="auto" w:fill="auto"/>
            <w:noWrap/>
            <w:vAlign w:val="center"/>
            <w:hideMark/>
          </w:tcPr>
          <w:p w14:paraId="2577DDD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028747A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r>
      <w:tr w:rsidR="00DB754C" w:rsidRPr="00DB754C" w14:paraId="078DED01" w14:textId="77777777" w:rsidTr="00E76440">
        <w:trPr>
          <w:trHeight w:val="300"/>
        </w:trPr>
        <w:tc>
          <w:tcPr>
            <w:tcW w:w="244" w:type="pct"/>
            <w:shd w:val="clear" w:color="auto" w:fill="auto"/>
            <w:noWrap/>
            <w:vAlign w:val="center"/>
            <w:hideMark/>
          </w:tcPr>
          <w:p w14:paraId="5DE94B7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9,3</w:t>
            </w:r>
          </w:p>
        </w:tc>
        <w:tc>
          <w:tcPr>
            <w:tcW w:w="1823" w:type="pct"/>
            <w:shd w:val="clear" w:color="auto" w:fill="auto"/>
            <w:noWrap/>
            <w:vAlign w:val="center"/>
            <w:hideMark/>
          </w:tcPr>
          <w:p w14:paraId="5A01D9DE"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Sistemas de conocimiento compartido</w:t>
            </w:r>
          </w:p>
        </w:tc>
        <w:tc>
          <w:tcPr>
            <w:tcW w:w="244" w:type="pct"/>
            <w:shd w:val="clear" w:color="auto" w:fill="auto"/>
            <w:noWrap/>
            <w:vAlign w:val="center"/>
            <w:hideMark/>
          </w:tcPr>
          <w:p w14:paraId="1410033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455878E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22</w:t>
            </w:r>
          </w:p>
        </w:tc>
        <w:tc>
          <w:tcPr>
            <w:tcW w:w="244" w:type="pct"/>
            <w:shd w:val="clear" w:color="auto" w:fill="auto"/>
            <w:noWrap/>
            <w:vAlign w:val="center"/>
            <w:hideMark/>
          </w:tcPr>
          <w:p w14:paraId="6E23E00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71576F9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21</w:t>
            </w:r>
          </w:p>
        </w:tc>
        <w:tc>
          <w:tcPr>
            <w:tcW w:w="244" w:type="pct"/>
            <w:shd w:val="clear" w:color="auto" w:fill="auto"/>
            <w:noWrap/>
            <w:vAlign w:val="center"/>
            <w:hideMark/>
          </w:tcPr>
          <w:p w14:paraId="42620E6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46CECDE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19</w:t>
            </w:r>
          </w:p>
        </w:tc>
        <w:tc>
          <w:tcPr>
            <w:tcW w:w="244" w:type="pct"/>
            <w:shd w:val="clear" w:color="auto" w:fill="auto"/>
            <w:noWrap/>
            <w:vAlign w:val="center"/>
            <w:hideMark/>
          </w:tcPr>
          <w:p w14:paraId="06BDB38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69D9DC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19</w:t>
            </w:r>
          </w:p>
        </w:tc>
        <w:tc>
          <w:tcPr>
            <w:tcW w:w="244" w:type="pct"/>
            <w:shd w:val="clear" w:color="auto" w:fill="auto"/>
            <w:noWrap/>
            <w:vAlign w:val="center"/>
            <w:hideMark/>
          </w:tcPr>
          <w:p w14:paraId="57BBDE8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5D5489B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17</w:t>
            </w:r>
          </w:p>
        </w:tc>
        <w:tc>
          <w:tcPr>
            <w:tcW w:w="244" w:type="pct"/>
            <w:shd w:val="clear" w:color="auto" w:fill="auto"/>
            <w:noWrap/>
            <w:vAlign w:val="center"/>
            <w:hideMark/>
          </w:tcPr>
          <w:p w14:paraId="0F34969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6F82CA0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17</w:t>
            </w:r>
          </w:p>
        </w:tc>
      </w:tr>
      <w:tr w:rsidR="00DB754C" w:rsidRPr="00DB754C" w14:paraId="39048485" w14:textId="77777777" w:rsidTr="00E76440">
        <w:trPr>
          <w:trHeight w:val="300"/>
        </w:trPr>
        <w:tc>
          <w:tcPr>
            <w:tcW w:w="244" w:type="pct"/>
            <w:shd w:val="clear" w:color="auto" w:fill="auto"/>
            <w:noWrap/>
            <w:vAlign w:val="center"/>
            <w:hideMark/>
          </w:tcPr>
          <w:p w14:paraId="6AC9ED2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9,4</w:t>
            </w:r>
          </w:p>
        </w:tc>
        <w:tc>
          <w:tcPr>
            <w:tcW w:w="1823" w:type="pct"/>
            <w:shd w:val="clear" w:color="auto" w:fill="auto"/>
            <w:noWrap/>
            <w:vAlign w:val="center"/>
            <w:hideMark/>
          </w:tcPr>
          <w:p w14:paraId="5F9B7D9B"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Procesos comerciales</w:t>
            </w:r>
          </w:p>
        </w:tc>
        <w:tc>
          <w:tcPr>
            <w:tcW w:w="244" w:type="pct"/>
            <w:shd w:val="clear" w:color="auto" w:fill="auto"/>
            <w:noWrap/>
            <w:vAlign w:val="center"/>
            <w:hideMark/>
          </w:tcPr>
          <w:p w14:paraId="6B2E832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7269E22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6314F51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360C2D6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244" w:type="pct"/>
            <w:shd w:val="clear" w:color="auto" w:fill="auto"/>
            <w:noWrap/>
            <w:vAlign w:val="center"/>
            <w:hideMark/>
          </w:tcPr>
          <w:p w14:paraId="0C35C5E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05F5AC0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3CD42C4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32B2928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07AD1C5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1726004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27E4FA6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166843F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18</w:t>
            </w:r>
          </w:p>
        </w:tc>
      </w:tr>
      <w:tr w:rsidR="00DB754C" w:rsidRPr="00DB754C" w14:paraId="369C2146" w14:textId="77777777" w:rsidTr="00E76440">
        <w:trPr>
          <w:trHeight w:val="300"/>
        </w:trPr>
        <w:tc>
          <w:tcPr>
            <w:tcW w:w="244" w:type="pct"/>
            <w:shd w:val="clear" w:color="auto" w:fill="auto"/>
            <w:noWrap/>
            <w:vAlign w:val="center"/>
            <w:hideMark/>
          </w:tcPr>
          <w:p w14:paraId="7D5CACB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lastRenderedPageBreak/>
              <w:t>9,5</w:t>
            </w:r>
          </w:p>
        </w:tc>
        <w:tc>
          <w:tcPr>
            <w:tcW w:w="1823" w:type="pct"/>
            <w:shd w:val="clear" w:color="auto" w:fill="auto"/>
            <w:noWrap/>
            <w:vAlign w:val="center"/>
            <w:hideMark/>
          </w:tcPr>
          <w:p w14:paraId="675AF6D8"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Recursos y responsabilidad</w:t>
            </w:r>
          </w:p>
        </w:tc>
        <w:tc>
          <w:tcPr>
            <w:tcW w:w="244" w:type="pct"/>
            <w:shd w:val="clear" w:color="auto" w:fill="auto"/>
            <w:noWrap/>
            <w:vAlign w:val="center"/>
            <w:hideMark/>
          </w:tcPr>
          <w:p w14:paraId="27BC9AC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098B9E9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19</w:t>
            </w:r>
          </w:p>
        </w:tc>
        <w:tc>
          <w:tcPr>
            <w:tcW w:w="244" w:type="pct"/>
            <w:shd w:val="clear" w:color="auto" w:fill="auto"/>
            <w:noWrap/>
            <w:vAlign w:val="center"/>
            <w:hideMark/>
          </w:tcPr>
          <w:p w14:paraId="4C50B55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4F49AF4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17</w:t>
            </w:r>
          </w:p>
        </w:tc>
        <w:tc>
          <w:tcPr>
            <w:tcW w:w="244" w:type="pct"/>
            <w:shd w:val="clear" w:color="auto" w:fill="auto"/>
            <w:noWrap/>
            <w:vAlign w:val="center"/>
            <w:hideMark/>
          </w:tcPr>
          <w:p w14:paraId="58D7485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55FECE8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20</w:t>
            </w:r>
          </w:p>
        </w:tc>
        <w:tc>
          <w:tcPr>
            <w:tcW w:w="244" w:type="pct"/>
            <w:shd w:val="clear" w:color="auto" w:fill="auto"/>
            <w:noWrap/>
            <w:vAlign w:val="center"/>
            <w:hideMark/>
          </w:tcPr>
          <w:p w14:paraId="2B45EF3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4F76A4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20</w:t>
            </w:r>
          </w:p>
        </w:tc>
        <w:tc>
          <w:tcPr>
            <w:tcW w:w="244" w:type="pct"/>
            <w:shd w:val="clear" w:color="auto" w:fill="auto"/>
            <w:noWrap/>
            <w:vAlign w:val="center"/>
            <w:hideMark/>
          </w:tcPr>
          <w:p w14:paraId="12B4CFF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D9B8DC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18</w:t>
            </w:r>
          </w:p>
        </w:tc>
        <w:tc>
          <w:tcPr>
            <w:tcW w:w="244" w:type="pct"/>
            <w:shd w:val="clear" w:color="auto" w:fill="auto"/>
            <w:noWrap/>
            <w:vAlign w:val="center"/>
            <w:hideMark/>
          </w:tcPr>
          <w:p w14:paraId="139ACA9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45B88C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19</w:t>
            </w:r>
          </w:p>
        </w:tc>
      </w:tr>
      <w:tr w:rsidR="00DB754C" w:rsidRPr="00DB754C" w14:paraId="1FF8F5DA" w14:textId="77777777" w:rsidTr="00E76440">
        <w:trPr>
          <w:trHeight w:val="300"/>
        </w:trPr>
        <w:tc>
          <w:tcPr>
            <w:tcW w:w="244" w:type="pct"/>
            <w:shd w:val="clear" w:color="auto" w:fill="auto"/>
            <w:noWrap/>
            <w:vAlign w:val="center"/>
            <w:hideMark/>
          </w:tcPr>
          <w:p w14:paraId="1EB55D7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9,6</w:t>
            </w:r>
          </w:p>
        </w:tc>
        <w:tc>
          <w:tcPr>
            <w:tcW w:w="1823" w:type="pct"/>
            <w:shd w:val="clear" w:color="auto" w:fill="auto"/>
            <w:noWrap/>
            <w:vAlign w:val="center"/>
            <w:hideMark/>
          </w:tcPr>
          <w:p w14:paraId="2ED03CD5"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Gestión estratégica</w:t>
            </w:r>
          </w:p>
        </w:tc>
        <w:tc>
          <w:tcPr>
            <w:tcW w:w="244" w:type="pct"/>
            <w:shd w:val="clear" w:color="auto" w:fill="auto"/>
            <w:noWrap/>
            <w:vAlign w:val="center"/>
            <w:hideMark/>
          </w:tcPr>
          <w:p w14:paraId="05BA889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601751E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244" w:type="pct"/>
            <w:shd w:val="clear" w:color="auto" w:fill="auto"/>
            <w:noWrap/>
            <w:vAlign w:val="center"/>
            <w:hideMark/>
          </w:tcPr>
          <w:p w14:paraId="79AD586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0A25CA6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66D1A60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13DC577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14</w:t>
            </w:r>
          </w:p>
        </w:tc>
        <w:tc>
          <w:tcPr>
            <w:tcW w:w="244" w:type="pct"/>
            <w:shd w:val="clear" w:color="auto" w:fill="auto"/>
            <w:noWrap/>
            <w:vAlign w:val="center"/>
            <w:hideMark/>
          </w:tcPr>
          <w:p w14:paraId="0714CED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16%</w:t>
            </w:r>
          </w:p>
        </w:tc>
        <w:tc>
          <w:tcPr>
            <w:tcW w:w="244" w:type="pct"/>
            <w:shd w:val="clear" w:color="auto" w:fill="auto"/>
            <w:noWrap/>
            <w:vAlign w:val="center"/>
            <w:hideMark/>
          </w:tcPr>
          <w:p w14:paraId="4450010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4C44F54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0C81E54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6E44C74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5F9CDDE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r>
      <w:tr w:rsidR="00DB754C" w:rsidRPr="00DB754C" w14:paraId="662A31DA" w14:textId="77777777" w:rsidTr="00E76440">
        <w:trPr>
          <w:trHeight w:val="300"/>
        </w:trPr>
        <w:tc>
          <w:tcPr>
            <w:tcW w:w="244" w:type="pct"/>
            <w:shd w:val="clear" w:color="auto" w:fill="auto"/>
            <w:noWrap/>
            <w:vAlign w:val="center"/>
            <w:hideMark/>
          </w:tcPr>
          <w:p w14:paraId="2CFC825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9,7</w:t>
            </w:r>
          </w:p>
        </w:tc>
        <w:tc>
          <w:tcPr>
            <w:tcW w:w="1823" w:type="pct"/>
            <w:shd w:val="clear" w:color="auto" w:fill="auto"/>
            <w:noWrap/>
            <w:vAlign w:val="center"/>
            <w:hideMark/>
          </w:tcPr>
          <w:p w14:paraId="6E21FF47"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Gestión de recursos humanos</w:t>
            </w:r>
          </w:p>
        </w:tc>
        <w:tc>
          <w:tcPr>
            <w:tcW w:w="244" w:type="pct"/>
            <w:shd w:val="clear" w:color="auto" w:fill="auto"/>
            <w:noWrap/>
            <w:vAlign w:val="center"/>
            <w:hideMark/>
          </w:tcPr>
          <w:p w14:paraId="294B2A4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c>
          <w:tcPr>
            <w:tcW w:w="244" w:type="pct"/>
            <w:shd w:val="clear" w:color="auto" w:fill="auto"/>
            <w:noWrap/>
            <w:vAlign w:val="center"/>
            <w:hideMark/>
          </w:tcPr>
          <w:p w14:paraId="43A287D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4D4221F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7D1DD8E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7D17A78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244" w:type="pct"/>
            <w:shd w:val="clear" w:color="auto" w:fill="auto"/>
            <w:noWrap/>
            <w:vAlign w:val="center"/>
            <w:hideMark/>
          </w:tcPr>
          <w:p w14:paraId="0F83D9E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504BAC1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0214DBA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753B301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7AB1CD4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121E3B8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2CDE45D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r>
      <w:tr w:rsidR="00DB754C" w:rsidRPr="00DB754C" w14:paraId="4C56A547" w14:textId="77777777" w:rsidTr="00E76440">
        <w:trPr>
          <w:trHeight w:val="300"/>
        </w:trPr>
        <w:tc>
          <w:tcPr>
            <w:tcW w:w="244" w:type="pct"/>
            <w:shd w:val="clear" w:color="auto" w:fill="auto"/>
            <w:noWrap/>
            <w:vAlign w:val="center"/>
            <w:hideMark/>
          </w:tcPr>
          <w:p w14:paraId="7BC775D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9,8</w:t>
            </w:r>
          </w:p>
        </w:tc>
        <w:tc>
          <w:tcPr>
            <w:tcW w:w="1823" w:type="pct"/>
            <w:shd w:val="clear" w:color="auto" w:fill="auto"/>
            <w:noWrap/>
            <w:vAlign w:val="center"/>
            <w:hideMark/>
          </w:tcPr>
          <w:p w14:paraId="2E00F720"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Gestión de proyectos</w:t>
            </w:r>
          </w:p>
        </w:tc>
        <w:tc>
          <w:tcPr>
            <w:tcW w:w="244" w:type="pct"/>
            <w:shd w:val="clear" w:color="auto" w:fill="auto"/>
            <w:noWrap/>
            <w:vAlign w:val="center"/>
            <w:hideMark/>
          </w:tcPr>
          <w:p w14:paraId="761552A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2B119EB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244" w:type="pct"/>
            <w:shd w:val="clear" w:color="auto" w:fill="auto"/>
            <w:noWrap/>
            <w:vAlign w:val="center"/>
            <w:hideMark/>
          </w:tcPr>
          <w:p w14:paraId="5E02099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0F36305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c>
          <w:tcPr>
            <w:tcW w:w="244" w:type="pct"/>
            <w:shd w:val="clear" w:color="auto" w:fill="auto"/>
            <w:noWrap/>
            <w:vAlign w:val="center"/>
            <w:hideMark/>
          </w:tcPr>
          <w:p w14:paraId="2CE9F8B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26F830C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1A74B63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0A7E0C2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14</w:t>
            </w:r>
          </w:p>
        </w:tc>
        <w:tc>
          <w:tcPr>
            <w:tcW w:w="244" w:type="pct"/>
            <w:shd w:val="clear" w:color="auto" w:fill="auto"/>
            <w:noWrap/>
            <w:vAlign w:val="center"/>
            <w:hideMark/>
          </w:tcPr>
          <w:p w14:paraId="20A42CC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5556792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19</w:t>
            </w:r>
          </w:p>
        </w:tc>
        <w:tc>
          <w:tcPr>
            <w:tcW w:w="244" w:type="pct"/>
            <w:shd w:val="clear" w:color="auto" w:fill="auto"/>
            <w:noWrap/>
            <w:vAlign w:val="center"/>
            <w:hideMark/>
          </w:tcPr>
          <w:p w14:paraId="7172A31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55E8501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r>
      <w:tr w:rsidR="00DB754C" w:rsidRPr="00DB754C" w14:paraId="6B0B25A2" w14:textId="77777777" w:rsidTr="00E76440">
        <w:trPr>
          <w:trHeight w:val="300"/>
        </w:trPr>
        <w:tc>
          <w:tcPr>
            <w:tcW w:w="244" w:type="pct"/>
            <w:shd w:val="clear" w:color="auto" w:fill="auto"/>
            <w:noWrap/>
            <w:vAlign w:val="center"/>
            <w:hideMark/>
          </w:tcPr>
          <w:p w14:paraId="330F83D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9,9</w:t>
            </w:r>
          </w:p>
        </w:tc>
        <w:tc>
          <w:tcPr>
            <w:tcW w:w="1823" w:type="pct"/>
            <w:shd w:val="clear" w:color="auto" w:fill="auto"/>
            <w:noWrap/>
            <w:vAlign w:val="center"/>
            <w:hideMark/>
          </w:tcPr>
          <w:p w14:paraId="754189EC"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Gestión del desempeño a nivel organizacional</w:t>
            </w:r>
          </w:p>
        </w:tc>
        <w:tc>
          <w:tcPr>
            <w:tcW w:w="244" w:type="pct"/>
            <w:shd w:val="clear" w:color="auto" w:fill="auto"/>
            <w:noWrap/>
            <w:vAlign w:val="center"/>
            <w:hideMark/>
          </w:tcPr>
          <w:p w14:paraId="6E55132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50CB9E2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c>
          <w:tcPr>
            <w:tcW w:w="244" w:type="pct"/>
            <w:shd w:val="clear" w:color="auto" w:fill="auto"/>
            <w:noWrap/>
            <w:vAlign w:val="center"/>
            <w:hideMark/>
          </w:tcPr>
          <w:p w14:paraId="2E7EE47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550F2F6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42994BA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0DF8B82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244" w:type="pct"/>
            <w:shd w:val="clear" w:color="auto" w:fill="auto"/>
            <w:noWrap/>
            <w:vAlign w:val="center"/>
            <w:hideMark/>
          </w:tcPr>
          <w:p w14:paraId="19BCE87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7F2ED73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17</w:t>
            </w:r>
          </w:p>
        </w:tc>
        <w:tc>
          <w:tcPr>
            <w:tcW w:w="244" w:type="pct"/>
            <w:shd w:val="clear" w:color="auto" w:fill="auto"/>
            <w:noWrap/>
            <w:vAlign w:val="center"/>
            <w:hideMark/>
          </w:tcPr>
          <w:p w14:paraId="4303962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7BA5088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20</w:t>
            </w:r>
          </w:p>
        </w:tc>
        <w:tc>
          <w:tcPr>
            <w:tcW w:w="244" w:type="pct"/>
            <w:shd w:val="clear" w:color="auto" w:fill="auto"/>
            <w:noWrap/>
            <w:vAlign w:val="center"/>
            <w:hideMark/>
          </w:tcPr>
          <w:p w14:paraId="0545D8A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6395207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20</w:t>
            </w:r>
          </w:p>
        </w:tc>
      </w:tr>
      <w:tr w:rsidR="00DB754C" w:rsidRPr="00DB754C" w14:paraId="3A473D83" w14:textId="77777777" w:rsidTr="00E76440">
        <w:trPr>
          <w:trHeight w:val="300"/>
        </w:trPr>
        <w:tc>
          <w:tcPr>
            <w:tcW w:w="244" w:type="pct"/>
            <w:shd w:val="clear" w:color="auto" w:fill="auto"/>
            <w:noWrap/>
            <w:vAlign w:val="center"/>
            <w:hideMark/>
          </w:tcPr>
          <w:p w14:paraId="25AF9EB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1823" w:type="pct"/>
            <w:shd w:val="clear" w:color="auto" w:fill="auto"/>
            <w:noWrap/>
            <w:vAlign w:val="center"/>
            <w:hideMark/>
          </w:tcPr>
          <w:p w14:paraId="5D692E8B"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Seguridad</w:t>
            </w:r>
          </w:p>
        </w:tc>
        <w:tc>
          <w:tcPr>
            <w:tcW w:w="244" w:type="pct"/>
            <w:shd w:val="clear" w:color="auto" w:fill="auto"/>
            <w:noWrap/>
            <w:vAlign w:val="center"/>
            <w:hideMark/>
          </w:tcPr>
          <w:p w14:paraId="272B76B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5%</w:t>
            </w:r>
          </w:p>
        </w:tc>
        <w:tc>
          <w:tcPr>
            <w:tcW w:w="244" w:type="pct"/>
            <w:shd w:val="clear" w:color="auto" w:fill="auto"/>
            <w:noWrap/>
            <w:vAlign w:val="center"/>
            <w:hideMark/>
          </w:tcPr>
          <w:p w14:paraId="4975493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3387299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635422F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9</w:t>
            </w:r>
          </w:p>
        </w:tc>
        <w:tc>
          <w:tcPr>
            <w:tcW w:w="244" w:type="pct"/>
            <w:shd w:val="clear" w:color="auto" w:fill="auto"/>
            <w:noWrap/>
            <w:vAlign w:val="center"/>
            <w:hideMark/>
          </w:tcPr>
          <w:p w14:paraId="2DCDF05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c>
          <w:tcPr>
            <w:tcW w:w="244" w:type="pct"/>
            <w:shd w:val="clear" w:color="auto" w:fill="auto"/>
            <w:noWrap/>
            <w:vAlign w:val="center"/>
            <w:hideMark/>
          </w:tcPr>
          <w:p w14:paraId="508908B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6</w:t>
            </w:r>
          </w:p>
        </w:tc>
        <w:tc>
          <w:tcPr>
            <w:tcW w:w="244" w:type="pct"/>
            <w:shd w:val="clear" w:color="auto" w:fill="auto"/>
            <w:noWrap/>
            <w:vAlign w:val="center"/>
            <w:hideMark/>
          </w:tcPr>
          <w:p w14:paraId="341F9A7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3B76709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244" w:type="pct"/>
            <w:shd w:val="clear" w:color="auto" w:fill="auto"/>
            <w:noWrap/>
            <w:vAlign w:val="center"/>
            <w:hideMark/>
          </w:tcPr>
          <w:p w14:paraId="49CB5AF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196E132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2EE1429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12C5688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r>
      <w:tr w:rsidR="00DB754C" w:rsidRPr="00DB754C" w14:paraId="2394A82D" w14:textId="77777777" w:rsidTr="00E76440">
        <w:trPr>
          <w:trHeight w:val="300"/>
        </w:trPr>
        <w:tc>
          <w:tcPr>
            <w:tcW w:w="244" w:type="pct"/>
            <w:shd w:val="clear" w:color="auto" w:fill="auto"/>
            <w:noWrap/>
            <w:vAlign w:val="center"/>
            <w:hideMark/>
          </w:tcPr>
          <w:p w14:paraId="5A0F8ED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11</w:t>
            </w:r>
          </w:p>
        </w:tc>
        <w:tc>
          <w:tcPr>
            <w:tcW w:w="1823" w:type="pct"/>
            <w:shd w:val="clear" w:color="auto" w:fill="auto"/>
            <w:noWrap/>
            <w:vAlign w:val="center"/>
            <w:hideMark/>
          </w:tcPr>
          <w:p w14:paraId="21E806E1"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Ingeniería de la información</w:t>
            </w:r>
          </w:p>
        </w:tc>
        <w:tc>
          <w:tcPr>
            <w:tcW w:w="244" w:type="pct"/>
            <w:shd w:val="clear" w:color="auto" w:fill="auto"/>
            <w:noWrap/>
            <w:vAlign w:val="center"/>
            <w:hideMark/>
          </w:tcPr>
          <w:p w14:paraId="5D5CBCB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49C1275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120F843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7850B1C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14</w:t>
            </w:r>
          </w:p>
        </w:tc>
        <w:tc>
          <w:tcPr>
            <w:tcW w:w="244" w:type="pct"/>
            <w:shd w:val="clear" w:color="auto" w:fill="auto"/>
            <w:noWrap/>
            <w:vAlign w:val="center"/>
            <w:hideMark/>
          </w:tcPr>
          <w:p w14:paraId="4AC14A8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745412A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585C57B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w:t>
            </w:r>
          </w:p>
        </w:tc>
        <w:tc>
          <w:tcPr>
            <w:tcW w:w="244" w:type="pct"/>
            <w:shd w:val="clear" w:color="auto" w:fill="auto"/>
            <w:noWrap/>
            <w:vAlign w:val="center"/>
            <w:hideMark/>
          </w:tcPr>
          <w:p w14:paraId="699D4F5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52FA546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10%</w:t>
            </w:r>
          </w:p>
        </w:tc>
        <w:tc>
          <w:tcPr>
            <w:tcW w:w="244" w:type="pct"/>
            <w:shd w:val="clear" w:color="auto" w:fill="auto"/>
            <w:noWrap/>
            <w:vAlign w:val="center"/>
            <w:hideMark/>
          </w:tcPr>
          <w:p w14:paraId="68843D3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3</w:t>
            </w:r>
          </w:p>
        </w:tc>
        <w:tc>
          <w:tcPr>
            <w:tcW w:w="244" w:type="pct"/>
            <w:shd w:val="clear" w:color="auto" w:fill="auto"/>
            <w:noWrap/>
            <w:vAlign w:val="center"/>
            <w:hideMark/>
          </w:tcPr>
          <w:p w14:paraId="342E6737"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4%</w:t>
            </w:r>
          </w:p>
        </w:tc>
        <w:tc>
          <w:tcPr>
            <w:tcW w:w="244" w:type="pct"/>
            <w:shd w:val="clear" w:color="auto" w:fill="auto"/>
            <w:noWrap/>
            <w:vAlign w:val="center"/>
            <w:hideMark/>
          </w:tcPr>
          <w:p w14:paraId="733A6DD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14</w:t>
            </w:r>
          </w:p>
        </w:tc>
      </w:tr>
      <w:tr w:rsidR="00DB754C" w:rsidRPr="00DB754C" w14:paraId="12B7693E" w14:textId="77777777" w:rsidTr="00E76440">
        <w:trPr>
          <w:trHeight w:val="300"/>
        </w:trPr>
        <w:tc>
          <w:tcPr>
            <w:tcW w:w="244" w:type="pct"/>
            <w:shd w:val="clear" w:color="auto" w:fill="auto"/>
            <w:noWrap/>
            <w:vAlign w:val="center"/>
            <w:hideMark/>
          </w:tcPr>
          <w:p w14:paraId="19047C8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12</w:t>
            </w:r>
          </w:p>
        </w:tc>
        <w:tc>
          <w:tcPr>
            <w:tcW w:w="1823" w:type="pct"/>
            <w:shd w:val="clear" w:color="auto" w:fill="auto"/>
            <w:noWrap/>
            <w:vAlign w:val="center"/>
            <w:hideMark/>
          </w:tcPr>
          <w:p w14:paraId="5C29E0AB"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Ingeniería de diseño y fabricación</w:t>
            </w:r>
          </w:p>
        </w:tc>
        <w:tc>
          <w:tcPr>
            <w:tcW w:w="244" w:type="pct"/>
            <w:shd w:val="clear" w:color="auto" w:fill="auto"/>
            <w:noWrap/>
            <w:vAlign w:val="center"/>
            <w:hideMark/>
          </w:tcPr>
          <w:p w14:paraId="4D9CDE9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1614BC0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20</w:t>
            </w:r>
          </w:p>
        </w:tc>
        <w:tc>
          <w:tcPr>
            <w:tcW w:w="244" w:type="pct"/>
            <w:shd w:val="clear" w:color="auto" w:fill="auto"/>
            <w:noWrap/>
            <w:vAlign w:val="center"/>
            <w:hideMark/>
          </w:tcPr>
          <w:p w14:paraId="347DF23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5EC319FA"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20</w:t>
            </w:r>
          </w:p>
        </w:tc>
        <w:tc>
          <w:tcPr>
            <w:tcW w:w="244" w:type="pct"/>
            <w:shd w:val="clear" w:color="auto" w:fill="auto"/>
            <w:noWrap/>
            <w:vAlign w:val="center"/>
            <w:hideMark/>
          </w:tcPr>
          <w:p w14:paraId="7DC8636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0B9A99F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21</w:t>
            </w:r>
          </w:p>
        </w:tc>
        <w:tc>
          <w:tcPr>
            <w:tcW w:w="244" w:type="pct"/>
            <w:shd w:val="clear" w:color="auto" w:fill="auto"/>
            <w:noWrap/>
            <w:vAlign w:val="center"/>
            <w:hideMark/>
          </w:tcPr>
          <w:p w14:paraId="4510BAD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2DDCD9D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21</w:t>
            </w:r>
          </w:p>
        </w:tc>
        <w:tc>
          <w:tcPr>
            <w:tcW w:w="244" w:type="pct"/>
            <w:shd w:val="clear" w:color="auto" w:fill="auto"/>
            <w:noWrap/>
            <w:vAlign w:val="center"/>
            <w:hideMark/>
          </w:tcPr>
          <w:p w14:paraId="0C9D0F9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006C574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21</w:t>
            </w:r>
          </w:p>
        </w:tc>
        <w:tc>
          <w:tcPr>
            <w:tcW w:w="244" w:type="pct"/>
            <w:shd w:val="clear" w:color="auto" w:fill="auto"/>
            <w:noWrap/>
            <w:vAlign w:val="center"/>
            <w:hideMark/>
          </w:tcPr>
          <w:p w14:paraId="575CC11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8%</w:t>
            </w:r>
          </w:p>
        </w:tc>
        <w:tc>
          <w:tcPr>
            <w:tcW w:w="244" w:type="pct"/>
            <w:shd w:val="clear" w:color="auto" w:fill="auto"/>
            <w:noWrap/>
            <w:vAlign w:val="center"/>
            <w:hideMark/>
          </w:tcPr>
          <w:p w14:paraId="1C69679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7</w:t>
            </w:r>
          </w:p>
        </w:tc>
      </w:tr>
      <w:tr w:rsidR="00DB754C" w:rsidRPr="00DB754C" w14:paraId="56C5633A" w14:textId="77777777" w:rsidTr="00E76440">
        <w:trPr>
          <w:trHeight w:val="300"/>
        </w:trPr>
        <w:tc>
          <w:tcPr>
            <w:tcW w:w="244" w:type="pct"/>
            <w:shd w:val="clear" w:color="auto" w:fill="auto"/>
            <w:noWrap/>
            <w:vAlign w:val="center"/>
            <w:hideMark/>
          </w:tcPr>
          <w:p w14:paraId="214D262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1823" w:type="pct"/>
            <w:shd w:val="clear" w:color="auto" w:fill="auto"/>
            <w:noWrap/>
            <w:vAlign w:val="center"/>
            <w:hideMark/>
          </w:tcPr>
          <w:p w14:paraId="27BD433E"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Diseño y desarrollo de productos</w:t>
            </w:r>
          </w:p>
        </w:tc>
        <w:tc>
          <w:tcPr>
            <w:tcW w:w="244" w:type="pct"/>
            <w:shd w:val="clear" w:color="auto" w:fill="auto"/>
            <w:noWrap/>
            <w:vAlign w:val="center"/>
            <w:hideMark/>
          </w:tcPr>
          <w:p w14:paraId="22C9674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238C131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18</w:t>
            </w:r>
          </w:p>
        </w:tc>
        <w:tc>
          <w:tcPr>
            <w:tcW w:w="244" w:type="pct"/>
            <w:shd w:val="clear" w:color="auto" w:fill="auto"/>
            <w:noWrap/>
            <w:vAlign w:val="center"/>
            <w:hideMark/>
          </w:tcPr>
          <w:p w14:paraId="4FC6373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02405614"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15</w:t>
            </w:r>
          </w:p>
        </w:tc>
        <w:tc>
          <w:tcPr>
            <w:tcW w:w="244" w:type="pct"/>
            <w:shd w:val="clear" w:color="auto" w:fill="auto"/>
            <w:noWrap/>
            <w:vAlign w:val="center"/>
            <w:hideMark/>
          </w:tcPr>
          <w:p w14:paraId="7932F9BB"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3A36B2E"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17</w:t>
            </w:r>
          </w:p>
        </w:tc>
        <w:tc>
          <w:tcPr>
            <w:tcW w:w="244" w:type="pct"/>
            <w:shd w:val="clear" w:color="auto" w:fill="auto"/>
            <w:noWrap/>
            <w:vAlign w:val="center"/>
            <w:hideMark/>
          </w:tcPr>
          <w:p w14:paraId="1F53920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w:t>
            </w:r>
          </w:p>
        </w:tc>
        <w:tc>
          <w:tcPr>
            <w:tcW w:w="244" w:type="pct"/>
            <w:shd w:val="clear" w:color="auto" w:fill="auto"/>
            <w:noWrap/>
            <w:vAlign w:val="center"/>
            <w:hideMark/>
          </w:tcPr>
          <w:p w14:paraId="64154FCF"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244" w:type="pct"/>
            <w:shd w:val="clear" w:color="auto" w:fill="auto"/>
            <w:noWrap/>
            <w:vAlign w:val="center"/>
            <w:hideMark/>
          </w:tcPr>
          <w:p w14:paraId="20A3A66C"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4134382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13</w:t>
            </w:r>
          </w:p>
        </w:tc>
        <w:tc>
          <w:tcPr>
            <w:tcW w:w="244" w:type="pct"/>
            <w:shd w:val="clear" w:color="auto" w:fill="auto"/>
            <w:noWrap/>
            <w:vAlign w:val="center"/>
            <w:hideMark/>
          </w:tcPr>
          <w:p w14:paraId="0B5A1AFD"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1ACA1CF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21</w:t>
            </w:r>
          </w:p>
        </w:tc>
      </w:tr>
      <w:tr w:rsidR="00DB754C" w:rsidRPr="00DB754C" w14:paraId="7A7753B7" w14:textId="77777777" w:rsidTr="00E76440">
        <w:trPr>
          <w:trHeight w:val="300"/>
        </w:trPr>
        <w:tc>
          <w:tcPr>
            <w:tcW w:w="244" w:type="pct"/>
            <w:shd w:val="clear" w:color="auto" w:fill="auto"/>
            <w:noWrap/>
            <w:vAlign w:val="center"/>
            <w:hideMark/>
          </w:tcPr>
          <w:p w14:paraId="6D7C96D0"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14</w:t>
            </w:r>
          </w:p>
        </w:tc>
        <w:tc>
          <w:tcPr>
            <w:tcW w:w="1823" w:type="pct"/>
            <w:shd w:val="clear" w:color="auto" w:fill="auto"/>
            <w:noWrap/>
            <w:vAlign w:val="center"/>
            <w:hideMark/>
          </w:tcPr>
          <w:p w14:paraId="5FB2953C" w14:textId="77777777" w:rsidR="00E76440" w:rsidRPr="00DB754C" w:rsidRDefault="00E76440" w:rsidP="00E76440">
            <w:pPr>
              <w:spacing w:line="360" w:lineRule="auto"/>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Diseño e ingeniería de sistemas</w:t>
            </w:r>
          </w:p>
        </w:tc>
        <w:tc>
          <w:tcPr>
            <w:tcW w:w="244" w:type="pct"/>
            <w:shd w:val="clear" w:color="auto" w:fill="auto"/>
            <w:noWrap/>
            <w:vAlign w:val="center"/>
            <w:hideMark/>
          </w:tcPr>
          <w:p w14:paraId="6113F96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56531598"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21</w:t>
            </w:r>
          </w:p>
        </w:tc>
        <w:tc>
          <w:tcPr>
            <w:tcW w:w="244" w:type="pct"/>
            <w:shd w:val="clear" w:color="auto" w:fill="auto"/>
            <w:noWrap/>
            <w:vAlign w:val="center"/>
            <w:hideMark/>
          </w:tcPr>
          <w:p w14:paraId="4C703EC3"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092490D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22</w:t>
            </w:r>
          </w:p>
        </w:tc>
        <w:tc>
          <w:tcPr>
            <w:tcW w:w="244" w:type="pct"/>
            <w:shd w:val="clear" w:color="auto" w:fill="auto"/>
            <w:noWrap/>
            <w:vAlign w:val="center"/>
            <w:hideMark/>
          </w:tcPr>
          <w:p w14:paraId="5AD44A76"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1D3974F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22</w:t>
            </w:r>
          </w:p>
        </w:tc>
        <w:tc>
          <w:tcPr>
            <w:tcW w:w="244" w:type="pct"/>
            <w:shd w:val="clear" w:color="auto" w:fill="auto"/>
            <w:noWrap/>
            <w:vAlign w:val="center"/>
            <w:hideMark/>
          </w:tcPr>
          <w:p w14:paraId="404941B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556AA102"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22</w:t>
            </w:r>
          </w:p>
        </w:tc>
        <w:tc>
          <w:tcPr>
            <w:tcW w:w="244" w:type="pct"/>
            <w:shd w:val="clear" w:color="auto" w:fill="auto"/>
            <w:noWrap/>
            <w:vAlign w:val="center"/>
            <w:hideMark/>
          </w:tcPr>
          <w:p w14:paraId="76AFA4E9"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4B56810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22</w:t>
            </w:r>
          </w:p>
        </w:tc>
        <w:tc>
          <w:tcPr>
            <w:tcW w:w="244" w:type="pct"/>
            <w:shd w:val="clear" w:color="auto" w:fill="auto"/>
            <w:noWrap/>
            <w:vAlign w:val="center"/>
            <w:hideMark/>
          </w:tcPr>
          <w:p w14:paraId="50A078C1"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0%</w:t>
            </w:r>
          </w:p>
        </w:tc>
        <w:tc>
          <w:tcPr>
            <w:tcW w:w="244" w:type="pct"/>
            <w:shd w:val="clear" w:color="auto" w:fill="auto"/>
            <w:noWrap/>
            <w:vAlign w:val="center"/>
            <w:hideMark/>
          </w:tcPr>
          <w:p w14:paraId="37455915" w14:textId="77777777" w:rsidR="00E76440" w:rsidRPr="00DB754C" w:rsidRDefault="00E76440" w:rsidP="00E76440">
            <w:pPr>
              <w:spacing w:line="360" w:lineRule="auto"/>
              <w:jc w:val="center"/>
              <w:rPr>
                <w:rFonts w:ascii="Times New Roman" w:eastAsia="Times New Roman" w:hAnsi="Times New Roman" w:cs="Times New Roman"/>
                <w:bCs/>
                <w:color w:val="000000"/>
                <w:sz w:val="22"/>
              </w:rPr>
            </w:pPr>
            <w:r w:rsidRPr="00DB754C">
              <w:rPr>
                <w:rFonts w:ascii="Times New Roman" w:eastAsia="Times New Roman" w:hAnsi="Times New Roman" w:cs="Times New Roman"/>
                <w:bCs/>
                <w:color w:val="000000"/>
                <w:sz w:val="22"/>
              </w:rPr>
              <w:t>22</w:t>
            </w:r>
          </w:p>
        </w:tc>
      </w:tr>
    </w:tbl>
    <w:p w14:paraId="334A38E6" w14:textId="4877DCC8" w:rsidR="00E76440" w:rsidRPr="00DB754C" w:rsidRDefault="00E76440" w:rsidP="00E76440">
      <w:pPr>
        <w:spacing w:line="360" w:lineRule="auto"/>
        <w:rPr>
          <w:rFonts w:ascii="Times New Roman" w:hAnsi="Times New Roman" w:cs="Times New Roman"/>
          <w:color w:val="000000"/>
        </w:rPr>
      </w:pPr>
    </w:p>
    <w:p w14:paraId="24B10B70" w14:textId="77777777" w:rsidR="00E76440" w:rsidRPr="00DB754C" w:rsidRDefault="00E76440" w:rsidP="00E76440">
      <w:pPr>
        <w:spacing w:line="360" w:lineRule="auto"/>
        <w:rPr>
          <w:rFonts w:ascii="Times New Roman" w:hAnsi="Times New Roman" w:cs="Times New Roman"/>
          <w:color w:val="000000"/>
        </w:rPr>
        <w:sectPr w:rsidR="00E76440" w:rsidRPr="00DB754C" w:rsidSect="00E76440">
          <w:pgSz w:w="15840" w:h="12240" w:orient="landscape"/>
          <w:pgMar w:top="1701" w:right="1418" w:bottom="1701" w:left="1418" w:header="709" w:footer="709" w:gutter="0"/>
          <w:cols w:space="708"/>
          <w:docGrid w:linePitch="360"/>
        </w:sectPr>
      </w:pPr>
    </w:p>
    <w:p w14:paraId="0FAF7E2D" w14:textId="77777777"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Las áreas de la ingeniería industrial con mayor relevancia varían de acuerdo a la fuente de información utilizada, sin embargo, se establecerán algunas similitudes y diferencias entre los resultados obtenidos anteriormente. Además, se analizará la relación existente entre estos resultados y el plan de estudios de Ingeniería Industrial de la Universidad Industrial de Santander</w:t>
      </w:r>
    </w:p>
    <w:p w14:paraId="37E37F0A" w14:textId="77777777" w:rsidR="00E76440" w:rsidRPr="00DB754C" w:rsidRDefault="00E76440" w:rsidP="00E76440">
      <w:pPr>
        <w:spacing w:line="360" w:lineRule="auto"/>
        <w:rPr>
          <w:rFonts w:ascii="Times New Roman" w:hAnsi="Times New Roman" w:cs="Times New Roman"/>
          <w:color w:val="000000"/>
        </w:rPr>
      </w:pPr>
    </w:p>
    <w:p w14:paraId="2D8D7428" w14:textId="647EB621"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Así las cosas, se observa que Análisis económico de ingeniería que es el área más relevante según el plan de estudios, también lo es para las fuentes de información de USA y se encuentra dentro del top 5 de funciones y ocupaciones colombiana, sin embargo, desde la perspectiva de estadísticas de ofertas laborales esta área es menos relevante, pues se encuentra en la posición 7.</w:t>
      </w:r>
    </w:p>
    <w:p w14:paraId="6C1DF5F7" w14:textId="77777777" w:rsidR="00E76440" w:rsidRPr="00DB754C" w:rsidRDefault="00E76440" w:rsidP="00E76440">
      <w:pPr>
        <w:spacing w:line="360" w:lineRule="auto"/>
        <w:rPr>
          <w:rFonts w:ascii="Times New Roman" w:hAnsi="Times New Roman" w:cs="Times New Roman"/>
          <w:color w:val="000000"/>
        </w:rPr>
      </w:pPr>
    </w:p>
    <w:p w14:paraId="26ADEDFC" w14:textId="77777777"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Además, Ingeniería de calidad y confiabilidad, la segunda área más relevante según el plan de estudios, también se encuentra presente dentro del top 5 de funciones y ocupaciones de Colombia, sin embargo, no sucede lo mismo en cuanto a estadísticas de ofertas laborales colombianas, ni funciones y ocupaciones de USA.</w:t>
      </w:r>
    </w:p>
    <w:p w14:paraId="30ADAA9E" w14:textId="77777777" w:rsidR="00E76440" w:rsidRPr="00DB754C" w:rsidRDefault="00E76440" w:rsidP="00E76440">
      <w:pPr>
        <w:spacing w:line="360" w:lineRule="auto"/>
        <w:rPr>
          <w:rFonts w:ascii="Times New Roman" w:hAnsi="Times New Roman" w:cs="Times New Roman"/>
          <w:color w:val="000000"/>
        </w:rPr>
      </w:pPr>
    </w:p>
    <w:p w14:paraId="798FB303" w14:textId="5471E6BC"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Por otra parte, un área como la Investigación y análisis de operaciones</w:t>
      </w:r>
      <w:r w:rsidRPr="00DB754C">
        <w:rPr>
          <w:rStyle w:val="Refdecomentario"/>
          <w:rFonts w:ascii="Times New Roman" w:hAnsi="Times New Roman" w:cs="Times New Roman"/>
          <w:color w:val="000000"/>
          <w:sz w:val="24"/>
          <w:szCs w:val="24"/>
        </w:rPr>
        <w:t>, q</w:t>
      </w:r>
      <w:r w:rsidRPr="00DB754C">
        <w:rPr>
          <w:rFonts w:ascii="Times New Roman" w:hAnsi="Times New Roman" w:cs="Times New Roman"/>
          <w:color w:val="000000"/>
        </w:rPr>
        <w:t>ue es medianamente relevante en cuanto al plan de estudios, no cuenta con una relevancia significativa en ninguna de las fuentes de información, pues su porcentaje o peso no supera el 1%, por lo que se ubica en los últimos lugares del ranking.</w:t>
      </w:r>
    </w:p>
    <w:p w14:paraId="241CCA8E" w14:textId="77777777" w:rsidR="00E76440" w:rsidRPr="00DB754C" w:rsidRDefault="00E76440" w:rsidP="00E76440">
      <w:pPr>
        <w:spacing w:line="360" w:lineRule="auto"/>
        <w:rPr>
          <w:rFonts w:ascii="Times New Roman" w:hAnsi="Times New Roman" w:cs="Times New Roman"/>
          <w:color w:val="000000"/>
        </w:rPr>
      </w:pPr>
    </w:p>
    <w:p w14:paraId="18D36B76" w14:textId="11772D98"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También se tiene que áreas como Ingeniería y gestión de operaciones y Gestión de recursos humanos se encuentran en el top 5 de áreas más relevantes, según todas las fuentes de información. Sin embargo, en cuanto a los resultados obtenidos para el plan de estudios, se tiene que la Ingeniería y gestión de operaciones está dentro del top 5 (ocupa el cuarto lugar), mientras que la Gestión de recursos humanos no es muy relevante.</w:t>
      </w:r>
    </w:p>
    <w:p w14:paraId="5700B6F8" w14:textId="77777777" w:rsidR="00E76440" w:rsidRPr="00DB754C" w:rsidRDefault="00E76440" w:rsidP="00E76440">
      <w:pPr>
        <w:spacing w:line="360" w:lineRule="auto"/>
        <w:rPr>
          <w:rFonts w:ascii="Times New Roman" w:hAnsi="Times New Roman" w:cs="Times New Roman"/>
          <w:color w:val="000000"/>
        </w:rPr>
      </w:pPr>
    </w:p>
    <w:p w14:paraId="01CE3A9A" w14:textId="7F93751C"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De igual manera, Enfoque al cliente que es un área medianamente relevante en cuanto al plan de estudios, las funciones y ocupaciones de ambos países, es el área más relevante en </w:t>
      </w:r>
      <w:r w:rsidRPr="00DB754C">
        <w:rPr>
          <w:rFonts w:ascii="Times New Roman" w:hAnsi="Times New Roman" w:cs="Times New Roman"/>
          <w:color w:val="000000"/>
        </w:rPr>
        <w:lastRenderedPageBreak/>
        <w:t xml:space="preserve">cuanto a estadísticas de ofertas laborales colombianas, destacándose con cerca del 50% de las vacantes. </w:t>
      </w:r>
    </w:p>
    <w:p w14:paraId="0BA5FDE0" w14:textId="77777777" w:rsidR="00E76440" w:rsidRPr="00DB754C" w:rsidRDefault="00E76440" w:rsidP="00E76440">
      <w:pPr>
        <w:spacing w:line="360" w:lineRule="auto"/>
        <w:rPr>
          <w:rFonts w:ascii="Times New Roman" w:hAnsi="Times New Roman" w:cs="Times New Roman"/>
          <w:color w:val="000000"/>
        </w:rPr>
      </w:pPr>
    </w:p>
    <w:p w14:paraId="5FAAEA47" w14:textId="5178356A"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Adicionalmente, un área como la Gestión estratégica se encuentra dentro del top 5 de las fuentes colombianas, por lo que se considera tiene una relevancia importante para estas, sin embargo, no sucede lo mismo en cuanto al plan de estudios de Ingeniería Industrial, puesto que solo tiene una relevancia del 4%.</w:t>
      </w:r>
    </w:p>
    <w:p w14:paraId="4D8711FD" w14:textId="77777777" w:rsidR="00E76440" w:rsidRPr="00DB754C" w:rsidRDefault="00E76440" w:rsidP="00E76440">
      <w:pPr>
        <w:spacing w:line="360" w:lineRule="auto"/>
        <w:rPr>
          <w:rFonts w:ascii="Times New Roman" w:hAnsi="Times New Roman" w:cs="Times New Roman"/>
          <w:color w:val="000000"/>
        </w:rPr>
      </w:pPr>
    </w:p>
    <w:p w14:paraId="3AEA98D0" w14:textId="7A093018"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Asimismo, se tiene que las áreas que tienen poca relevancia para el plan de estudios, es decir</w:t>
      </w:r>
      <w:r w:rsidRPr="00DB754C">
        <w:rPr>
          <w:rStyle w:val="Refdecomentario"/>
          <w:rFonts w:ascii="Times New Roman" w:hAnsi="Times New Roman" w:cs="Times New Roman"/>
          <w:color w:val="000000"/>
          <w:sz w:val="24"/>
          <w:szCs w:val="24"/>
        </w:rPr>
        <w:t xml:space="preserve">, </w:t>
      </w:r>
      <w:r w:rsidRPr="00DB754C">
        <w:rPr>
          <w:rFonts w:ascii="Times New Roman" w:hAnsi="Times New Roman" w:cs="Times New Roman"/>
          <w:color w:val="000000"/>
        </w:rPr>
        <w:t>aquellas que se encuentran en los últimos lugares del ranking con un 0% de peso, también tienen una baja relevancia para las fuentes de información empleadas en este estudio. La excepción la hace procesos comerciales, la cual es un área medianamente relevante según las estadísticas de ofertas laborales.</w:t>
      </w:r>
    </w:p>
    <w:p w14:paraId="49CCD6F1" w14:textId="77777777" w:rsidR="00E76440" w:rsidRPr="00DB754C" w:rsidRDefault="00E76440" w:rsidP="00E76440">
      <w:pPr>
        <w:spacing w:line="360" w:lineRule="auto"/>
        <w:rPr>
          <w:rFonts w:ascii="Times New Roman" w:hAnsi="Times New Roman" w:cs="Times New Roman"/>
          <w:color w:val="000000"/>
        </w:rPr>
      </w:pPr>
    </w:p>
    <w:p w14:paraId="54F52712" w14:textId="51C9E7C2"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Si se hace un análisis por país, se tiene que Colombia le da más relevancia a un área operacional como la Ingeniería y gestión de operaciones, seguida por un área comercial como Enfoque al cliente, mientras que USA se enfoca en un área financiera como Análisis económico de ingeniería seguida de un área operacional como la Ingeniería y gestión de operaciones, que es la que se muestra como el área más relevante según este estudio.</w:t>
      </w:r>
    </w:p>
    <w:p w14:paraId="15AF5705" w14:textId="77777777" w:rsidR="00E76440" w:rsidRPr="00DB754C" w:rsidRDefault="00E76440" w:rsidP="00E76440">
      <w:pPr>
        <w:spacing w:line="360" w:lineRule="auto"/>
        <w:rPr>
          <w:rFonts w:ascii="Times New Roman" w:hAnsi="Times New Roman" w:cs="Times New Roman"/>
          <w:color w:val="000000"/>
        </w:rPr>
      </w:pPr>
    </w:p>
    <w:p w14:paraId="5BE8D0A1" w14:textId="40803CF8"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Este trabajo permite concluir que, como se muestra en </w:t>
      </w:r>
      <w:r w:rsidRPr="00DB754C">
        <w:rPr>
          <w:rFonts w:ascii="Times New Roman" w:hAnsi="Times New Roman" w:cs="Times New Roman"/>
          <w:color w:val="000000"/>
        </w:rPr>
        <w:fldChar w:fldCharType="begin"/>
      </w:r>
      <w:r w:rsidRPr="00DB754C">
        <w:rPr>
          <w:rFonts w:ascii="Times New Roman" w:hAnsi="Times New Roman" w:cs="Times New Roman"/>
          <w:color w:val="000000"/>
        </w:rPr>
        <w:instrText xml:space="preserve"> REF _Ref109757524 \h  \* MERGEFORMAT </w:instrText>
      </w:r>
      <w:r w:rsidRPr="00DB754C">
        <w:rPr>
          <w:rFonts w:ascii="Times New Roman" w:hAnsi="Times New Roman" w:cs="Times New Roman"/>
          <w:color w:val="000000"/>
        </w:rPr>
      </w:r>
      <w:r w:rsidRPr="00DB754C">
        <w:rPr>
          <w:rFonts w:ascii="Times New Roman" w:hAnsi="Times New Roman" w:cs="Times New Roman"/>
          <w:color w:val="000000"/>
        </w:rPr>
        <w:fldChar w:fldCharType="separate"/>
      </w:r>
      <w:r w:rsidRPr="00DB754C">
        <w:rPr>
          <w:rFonts w:ascii="Times New Roman" w:hAnsi="Times New Roman" w:cs="Times New Roman"/>
          <w:color w:val="000000"/>
        </w:rPr>
        <w:t xml:space="preserve">Figura </w:t>
      </w:r>
      <w:r w:rsidRPr="00DB754C">
        <w:rPr>
          <w:rFonts w:ascii="Times New Roman" w:hAnsi="Times New Roman" w:cs="Times New Roman"/>
          <w:noProof/>
          <w:color w:val="000000"/>
        </w:rPr>
        <w:t>11</w:t>
      </w:r>
      <w:r w:rsidRPr="00DB754C">
        <w:rPr>
          <w:rFonts w:ascii="Times New Roman" w:hAnsi="Times New Roman" w:cs="Times New Roman"/>
          <w:color w:val="000000"/>
        </w:rPr>
        <w:fldChar w:fldCharType="end"/>
      </w:r>
      <w:r w:rsidRPr="00DB754C">
        <w:rPr>
          <w:rFonts w:ascii="Times New Roman" w:hAnsi="Times New Roman" w:cs="Times New Roman"/>
          <w:color w:val="000000"/>
        </w:rPr>
        <w:t>, el área de conocimiento más relevante según la base de datos ocupacional colombiana es Ingeniería y gestión de operaciones, según la base de datos americana es Análisis económico de ingeniería y según las estadísticas de ofertas laborales es Enfoque al cliente. Sin embargo, de manera general las cinco áreas más relevantes del presente estudio son Ingeniería y gestión de operaciones, Enfoque al cliente, Análisis económico de ingeniería, Gestión de recursos humanos y Gestión Estratégica.</w:t>
      </w:r>
    </w:p>
    <w:p w14:paraId="0D988A55" w14:textId="77777777" w:rsidR="00E76440" w:rsidRPr="00DB754C" w:rsidRDefault="00E76440" w:rsidP="00E76440">
      <w:pPr>
        <w:keepNext/>
        <w:spacing w:line="360" w:lineRule="auto"/>
        <w:rPr>
          <w:rFonts w:ascii="Times New Roman" w:hAnsi="Times New Roman" w:cs="Times New Roman"/>
          <w:color w:val="000000"/>
        </w:rPr>
      </w:pPr>
      <w:r w:rsidRPr="00DB754C">
        <w:rPr>
          <w:rFonts w:ascii="Times New Roman" w:hAnsi="Times New Roman" w:cs="Times New Roman"/>
          <w:noProof/>
          <w:color w:val="000000"/>
          <w:lang w:val="en-US"/>
        </w:rPr>
        <w:lastRenderedPageBreak/>
        <w:drawing>
          <wp:inline distT="0" distB="0" distL="0" distR="0" wp14:anchorId="5241B4C5" wp14:editId="3A365FE5">
            <wp:extent cx="5943600" cy="6120000"/>
            <wp:effectExtent l="0" t="0" r="0" b="1460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9652CD3" w14:textId="610C6F4D" w:rsidR="00E76440" w:rsidRPr="00DB754C" w:rsidRDefault="00E76440" w:rsidP="00E76440">
      <w:pPr>
        <w:pStyle w:val="Descripcin"/>
        <w:spacing w:line="360" w:lineRule="auto"/>
        <w:jc w:val="center"/>
        <w:rPr>
          <w:b w:val="0"/>
          <w:color w:val="000000"/>
        </w:rPr>
      </w:pPr>
      <w:bookmarkStart w:id="30" w:name="_Ref109757524"/>
      <w:bookmarkStart w:id="31" w:name="_Toc109756805"/>
      <w:r w:rsidRPr="00DB754C">
        <w:rPr>
          <w:b w:val="0"/>
          <w:i/>
          <w:color w:val="000000"/>
        </w:rPr>
        <w:t xml:space="preserve">Figura </w:t>
      </w:r>
      <w:r w:rsidRPr="00DB754C">
        <w:rPr>
          <w:b w:val="0"/>
          <w:i/>
          <w:color w:val="000000"/>
        </w:rPr>
        <w:fldChar w:fldCharType="begin"/>
      </w:r>
      <w:r w:rsidRPr="00DB754C">
        <w:rPr>
          <w:b w:val="0"/>
          <w:i/>
          <w:color w:val="000000"/>
        </w:rPr>
        <w:instrText xml:space="preserve"> SEQ Figura \* ARABIC </w:instrText>
      </w:r>
      <w:r w:rsidRPr="00DB754C">
        <w:rPr>
          <w:b w:val="0"/>
          <w:i/>
          <w:color w:val="000000"/>
        </w:rPr>
        <w:fldChar w:fldCharType="separate"/>
      </w:r>
      <w:r w:rsidRPr="00DB754C">
        <w:rPr>
          <w:b w:val="0"/>
          <w:i/>
          <w:noProof/>
          <w:color w:val="000000"/>
        </w:rPr>
        <w:t>11</w:t>
      </w:r>
      <w:r w:rsidRPr="00DB754C">
        <w:rPr>
          <w:b w:val="0"/>
          <w:i/>
          <w:color w:val="000000"/>
        </w:rPr>
        <w:fldChar w:fldCharType="end"/>
      </w:r>
      <w:bookmarkEnd w:id="30"/>
      <w:r w:rsidRPr="00DB754C">
        <w:rPr>
          <w:b w:val="0"/>
          <w:i/>
          <w:color w:val="000000"/>
        </w:rPr>
        <w:t>.</w:t>
      </w:r>
      <w:r w:rsidRPr="00DB754C">
        <w:rPr>
          <w:b w:val="0"/>
          <w:color w:val="000000"/>
        </w:rPr>
        <w:t xml:space="preserve">  Resumen de los resultados obtenidos</w:t>
      </w:r>
      <w:bookmarkEnd w:id="31"/>
      <w:r w:rsidRPr="00DB754C">
        <w:rPr>
          <w:b w:val="0"/>
          <w:color w:val="000000"/>
        </w:rPr>
        <w:t>. Elaboración propia.</w:t>
      </w:r>
    </w:p>
    <w:p w14:paraId="3516C3A0" w14:textId="77777777" w:rsidR="00E76440" w:rsidRPr="00DB754C" w:rsidRDefault="00E76440" w:rsidP="00E76440">
      <w:pPr>
        <w:rPr>
          <w:color w:val="000000"/>
          <w:lang w:val="es-ES"/>
        </w:rPr>
      </w:pPr>
    </w:p>
    <w:p w14:paraId="39758F3E" w14:textId="12AFDE52" w:rsidR="00E76440" w:rsidRPr="00DB754C" w:rsidRDefault="00E76440" w:rsidP="00E76440">
      <w:pPr>
        <w:spacing w:line="360" w:lineRule="auto"/>
        <w:ind w:firstLine="720"/>
        <w:rPr>
          <w:rFonts w:ascii="Times New Roman" w:hAnsi="Times New Roman" w:cs="Times New Roman"/>
          <w:color w:val="000000"/>
        </w:rPr>
      </w:pPr>
      <w:r w:rsidRPr="00DB754C">
        <w:rPr>
          <w:rFonts w:ascii="Times New Roman" w:hAnsi="Times New Roman" w:cs="Times New Roman"/>
          <w:color w:val="000000"/>
        </w:rPr>
        <w:t xml:space="preserve">Finalmente, si se contrastan las cinco áreas más relevantes del presente trabajo, con el plan de estudios, se tiene que: Ingeniería y gestión de operaciones y Enfoque al cliente, las áreas más relevantes según esta investigación, no lo son para el plan de estudios, puesto que están presentes cada una con 2 asignaturas, representando el 7,69%. Igualmente, Análisis económico de ingeniería, que ocupa el tercer lugar en este estudio, es el área que más materias acoge, con un total de 5 asignaturas que representan el 19,23%, es decir es el </w:t>
      </w:r>
      <w:r w:rsidRPr="00DB754C">
        <w:rPr>
          <w:rFonts w:ascii="Times New Roman" w:hAnsi="Times New Roman" w:cs="Times New Roman"/>
          <w:color w:val="000000"/>
        </w:rPr>
        <w:lastRenderedPageBreak/>
        <w:t xml:space="preserve">área más relevante para el plan de estudios. Adicionalmente, Gestión de recursos humanos y Gestión Estratégica, que ocupan el cuarto y quinto lugar en este estudio, cada una solo acoge 1 asignatura, representando el 3,85%. </w:t>
      </w:r>
    </w:p>
    <w:p w14:paraId="7FF0BCA9" w14:textId="77777777" w:rsidR="00E76440" w:rsidRPr="00DB754C" w:rsidRDefault="00E76440" w:rsidP="00E76440">
      <w:pPr>
        <w:spacing w:line="360" w:lineRule="auto"/>
        <w:ind w:firstLine="720"/>
        <w:rPr>
          <w:rFonts w:ascii="Times New Roman" w:hAnsi="Times New Roman" w:cs="Times New Roman"/>
          <w:color w:val="000000"/>
        </w:rPr>
      </w:pPr>
    </w:p>
    <w:p w14:paraId="6E050946" w14:textId="77777777" w:rsidR="00E76440" w:rsidRPr="00DB754C" w:rsidRDefault="00E76440" w:rsidP="00E76440">
      <w:pPr>
        <w:spacing w:line="360" w:lineRule="auto"/>
        <w:ind w:firstLine="720"/>
        <w:rPr>
          <w:rFonts w:ascii="Times New Roman" w:hAnsi="Times New Roman" w:cs="Times New Roman"/>
          <w:color w:val="000000"/>
        </w:rPr>
      </w:pPr>
      <w:r w:rsidRPr="00DB754C">
        <w:rPr>
          <w:rFonts w:ascii="Times New Roman" w:hAnsi="Times New Roman" w:cs="Times New Roman"/>
          <w:color w:val="000000"/>
        </w:rPr>
        <w:t xml:space="preserve">Asimismo, las dos áreas de conocimiento con más asignaturas no coinciden con las áreas identificadas como las más relevantes en el presente estudio. Análisis económico de ingeniería, el área que acoge más asignaturas del plan de estudios se encuentra como la tercera más relevante en este estudio. Lo que no sucede con Ingeniería de calidad y confiabilidad, que es la segunda área de conocimiento con más asignaturas del plan de estudios, pero no se identificó dentro de las cinco áreas más relevantes del presente estudio. </w:t>
      </w:r>
    </w:p>
    <w:p w14:paraId="28E10A26" w14:textId="77777777" w:rsidR="00E76440" w:rsidRPr="00DB754C" w:rsidRDefault="00E76440" w:rsidP="00E76440">
      <w:pPr>
        <w:spacing w:line="360" w:lineRule="auto"/>
        <w:rPr>
          <w:rFonts w:ascii="Times New Roman" w:hAnsi="Times New Roman" w:cs="Times New Roman"/>
          <w:color w:val="000000"/>
        </w:rPr>
      </w:pPr>
    </w:p>
    <w:p w14:paraId="61B145FA" w14:textId="77777777" w:rsidR="00E76440" w:rsidRPr="00DB754C" w:rsidRDefault="00E76440" w:rsidP="00E76440">
      <w:pPr>
        <w:spacing w:line="360" w:lineRule="auto"/>
        <w:rPr>
          <w:rFonts w:ascii="Times New Roman" w:hAnsi="Times New Roman" w:cs="Times New Roman"/>
          <w:color w:val="000000"/>
        </w:rPr>
      </w:pPr>
    </w:p>
    <w:p w14:paraId="1715946C" w14:textId="5C4F1A50" w:rsidR="00AF5470" w:rsidRPr="00DB754C" w:rsidRDefault="00AF5470" w:rsidP="00E76440">
      <w:pPr>
        <w:spacing w:line="360" w:lineRule="auto"/>
        <w:jc w:val="center"/>
        <w:rPr>
          <w:rFonts w:ascii="Times New Roman" w:hAnsi="Times New Roman" w:cs="Times New Roman"/>
          <w:b/>
          <w:color w:val="000000"/>
        </w:rPr>
      </w:pPr>
      <w:r w:rsidRPr="00DB754C">
        <w:rPr>
          <w:rFonts w:ascii="Times New Roman" w:hAnsi="Times New Roman" w:cs="Times New Roman"/>
          <w:b/>
          <w:color w:val="000000"/>
        </w:rPr>
        <w:t>Conclusiones</w:t>
      </w:r>
    </w:p>
    <w:p w14:paraId="31EBAA4F" w14:textId="77777777" w:rsidR="00AF5470" w:rsidRPr="00DB754C" w:rsidRDefault="00AF5470" w:rsidP="00324459">
      <w:pPr>
        <w:spacing w:line="360" w:lineRule="auto"/>
        <w:jc w:val="center"/>
        <w:rPr>
          <w:rFonts w:ascii="Times New Roman" w:hAnsi="Times New Roman" w:cs="Times New Roman"/>
          <w:b/>
          <w:color w:val="000000"/>
        </w:rPr>
      </w:pPr>
    </w:p>
    <w:p w14:paraId="75C74B80" w14:textId="1B3C5EEB" w:rsidR="007F743D" w:rsidRPr="00DB754C" w:rsidRDefault="007F743D" w:rsidP="007F743D">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La literatura reporta que, para investigar la temática de este proyecto, se han utilizado metodologías como análisis documentales, seguimientos a egresados, análisis de ofertas laborales y encuestas y/o entrevistas a los estudiantes, profesores, egresados y empleadores. </w:t>
      </w:r>
    </w:p>
    <w:p w14:paraId="76122CF1" w14:textId="77777777" w:rsidR="007F743D" w:rsidRPr="00DB754C" w:rsidRDefault="007F743D" w:rsidP="007F743D">
      <w:pPr>
        <w:spacing w:line="360" w:lineRule="auto"/>
        <w:rPr>
          <w:rFonts w:ascii="Times New Roman" w:hAnsi="Times New Roman" w:cs="Times New Roman"/>
          <w:color w:val="000000"/>
        </w:rPr>
      </w:pPr>
    </w:p>
    <w:p w14:paraId="79A86C93" w14:textId="32531602" w:rsidR="007F743D" w:rsidRPr="00DB754C" w:rsidRDefault="007F743D" w:rsidP="007F743D">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Estas metodologías han utilizado como fuentes de información documentos; expedientes y currículos de profesores; entrevistas y encuestas a profesores, estudiantes, graduados, empleadores y empresarios; ofertas laborales; informes de caracterización de la trayectoria laboral de los egresados; planes de desarrollo nacional, local e institucional; clusters; cartas de los empresarios donde especifican la necesidad de practicantes; información gremial y sistemas de información estadísticos de la institución, entre otros. </w:t>
      </w:r>
    </w:p>
    <w:p w14:paraId="38801954" w14:textId="77777777" w:rsidR="007F743D" w:rsidRPr="00DB754C" w:rsidRDefault="007F743D" w:rsidP="007F743D">
      <w:pPr>
        <w:spacing w:line="360" w:lineRule="auto"/>
        <w:rPr>
          <w:rFonts w:ascii="Times New Roman" w:hAnsi="Times New Roman" w:cs="Times New Roman"/>
          <w:color w:val="000000"/>
        </w:rPr>
      </w:pPr>
    </w:p>
    <w:p w14:paraId="4D5D441F" w14:textId="77777777" w:rsidR="007F743D" w:rsidRPr="00DB754C" w:rsidRDefault="007F743D" w:rsidP="007F743D">
      <w:pPr>
        <w:spacing w:line="360" w:lineRule="auto"/>
        <w:rPr>
          <w:rFonts w:ascii="Times New Roman" w:hAnsi="Times New Roman" w:cs="Times New Roman"/>
          <w:color w:val="000000"/>
        </w:rPr>
      </w:pPr>
      <w:r w:rsidRPr="00DB754C">
        <w:rPr>
          <w:rFonts w:ascii="Times New Roman" w:hAnsi="Times New Roman" w:cs="Times New Roman"/>
          <w:color w:val="000000"/>
        </w:rPr>
        <w:t>En la literatura se percibe un mayor interés por investigar sobre las competencias o habilidades no técnicas, que, por los conocimientos técnicos, pese a que los resultados de las investigaciones son utilizados para procesos de actualización y rediseño de plan de estudios, así como para atender los requerimientos de organismos acreditadores.</w:t>
      </w:r>
    </w:p>
    <w:p w14:paraId="600A4EBA" w14:textId="77777777" w:rsidR="007F743D" w:rsidRPr="00DB754C" w:rsidRDefault="007F743D" w:rsidP="007F743D">
      <w:pPr>
        <w:spacing w:line="360" w:lineRule="auto"/>
        <w:rPr>
          <w:rFonts w:ascii="Times New Roman" w:hAnsi="Times New Roman" w:cs="Times New Roman"/>
          <w:color w:val="000000"/>
        </w:rPr>
      </w:pPr>
    </w:p>
    <w:p w14:paraId="5F963831" w14:textId="0E0B3C05" w:rsidR="00E76440" w:rsidRPr="00DB754C" w:rsidRDefault="00E76440" w:rsidP="007F743D">
      <w:pPr>
        <w:spacing w:line="360" w:lineRule="auto"/>
        <w:rPr>
          <w:rFonts w:ascii="Times New Roman" w:hAnsi="Times New Roman" w:cs="Times New Roman"/>
          <w:color w:val="000000"/>
        </w:rPr>
      </w:pPr>
      <w:r w:rsidRPr="00DB754C">
        <w:rPr>
          <w:rFonts w:ascii="Times New Roman" w:hAnsi="Times New Roman" w:cs="Times New Roman"/>
          <w:color w:val="000000"/>
        </w:rPr>
        <w:lastRenderedPageBreak/>
        <w:t>Según las funciones ocupacionales establecidas por el Observatorio Laboral y Ocupacional Colombiano, Ingeniería y gestión de operaciones es el área que más funciones ocupacionales contiene, seguido por la Gestión de recursos humanos y la Gestión estratégica.</w:t>
      </w:r>
    </w:p>
    <w:p w14:paraId="536993F9" w14:textId="77777777" w:rsidR="00E76440" w:rsidRPr="00DB754C" w:rsidRDefault="00E76440" w:rsidP="00E76440">
      <w:pPr>
        <w:spacing w:line="360" w:lineRule="auto"/>
        <w:rPr>
          <w:rFonts w:ascii="Times New Roman" w:hAnsi="Times New Roman" w:cs="Times New Roman"/>
          <w:color w:val="000000"/>
        </w:rPr>
      </w:pPr>
    </w:p>
    <w:p w14:paraId="20F6A823" w14:textId="145E884F"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Para el caso de USA y las funciones ocupacionales establecidas por el O*NET Resource Center, Análisis económico de ingeniería es el área que más funciones acoge seguida por Ingeniería y gestión de operaciones y Gestión de la cadena de suministro.</w:t>
      </w:r>
    </w:p>
    <w:p w14:paraId="099FF1CE" w14:textId="77777777" w:rsidR="00E76440" w:rsidRPr="00DB754C" w:rsidRDefault="00E76440" w:rsidP="00E76440">
      <w:pPr>
        <w:spacing w:line="360" w:lineRule="auto"/>
        <w:rPr>
          <w:rFonts w:ascii="Times New Roman" w:hAnsi="Times New Roman" w:cs="Times New Roman"/>
          <w:color w:val="000000"/>
        </w:rPr>
      </w:pPr>
    </w:p>
    <w:p w14:paraId="319D159E" w14:textId="580C1AAA"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Algunas similitudes entre los dos países son la alta relevancia que tiene Gestión de recursos humanos y las pocas funciones asociadas a áreas como Diseño y desarrollo de productos, Diseño y medición del trabajo, Recursos y responsabilidad, Investigación y análisis de operaciones, Ergonomía y factores humanos, Ingeniería de diseño y fabricación, Sistemas de conocimiento compartido y Diseño e ingeniería de sistemas.</w:t>
      </w:r>
    </w:p>
    <w:p w14:paraId="6367D9C0" w14:textId="77777777" w:rsidR="00E76440" w:rsidRPr="00DB754C" w:rsidRDefault="00E76440" w:rsidP="00E76440">
      <w:pPr>
        <w:spacing w:line="360" w:lineRule="auto"/>
        <w:rPr>
          <w:rFonts w:ascii="Times New Roman" w:hAnsi="Times New Roman" w:cs="Times New Roman"/>
          <w:color w:val="000000"/>
        </w:rPr>
      </w:pPr>
    </w:p>
    <w:p w14:paraId="72530C23" w14:textId="22198D78"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En cuanto a las ocupaciones o cargos, para Colombia la Ingeniería y gestión de operaciones es el área que más ocupaciones acoge, seguido por la Gestión estratégica y la Ingeniería de calidad y confiabilidad. Para USA, el Análisis económico de ingeniería es el área que más ocupaciones acoge, seguida por la Ingeniería y gestión de operaciones y la Gestión de la cadena de suministro. Entre las principales diferencias se tiene que para USA la Gestión de la cadena de suministro se encuentra en tercer lugar, mientras que para Colombia ocupa el séptimo lugar. Algo similar sucede con Enfoque al cliente. También se encontró que un área como la Gestión estratégica es relevante para Colombia, pero no se encuentra ni en el top 10 de áreas relevantes de USA.</w:t>
      </w:r>
    </w:p>
    <w:p w14:paraId="4954EB97" w14:textId="77777777" w:rsidR="00E76440" w:rsidRPr="00DB754C" w:rsidRDefault="00E76440" w:rsidP="00E76440">
      <w:pPr>
        <w:spacing w:line="360" w:lineRule="auto"/>
        <w:rPr>
          <w:rFonts w:ascii="Times New Roman" w:hAnsi="Times New Roman" w:cs="Times New Roman"/>
          <w:color w:val="000000"/>
        </w:rPr>
      </w:pPr>
    </w:p>
    <w:p w14:paraId="77058E53" w14:textId="59DEE622"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Tanto por funciones y ocupaciones se encuentran diferencias en cuanto a las áreas de conocimiento más relevantes para cada uno de los países. En USA se encontró el Análisis económico de ingeniería, un área administrativa y financiera, como el área más relevante, mientras que para el caso de Colombia se tiene un área más operacional como la ingeniería y gestión de operaciones. Sin embargo, estas dos áreas junto a la Gestión de recursos humanos son áreas comunes dentro del top 5 de áreas más relevantes para los dos países.</w:t>
      </w:r>
    </w:p>
    <w:p w14:paraId="572F7DDE" w14:textId="77777777" w:rsidR="00E76440" w:rsidRPr="00DB754C" w:rsidRDefault="00E76440" w:rsidP="00E76440">
      <w:pPr>
        <w:spacing w:line="360" w:lineRule="auto"/>
        <w:rPr>
          <w:rFonts w:ascii="Times New Roman" w:hAnsi="Times New Roman" w:cs="Times New Roman"/>
          <w:color w:val="000000"/>
        </w:rPr>
      </w:pPr>
    </w:p>
    <w:p w14:paraId="2B3210D9" w14:textId="53FC8D7B"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En cuanto a estadísticas de ofertas laborales, se tiene que Enfoque al cliente es el área que más vacantes acoge con cerca del 50%, lo que posiblemente se debe a la gran cantidad de vacantes que se encuentran para cargos asociados a vendedores. Sin embargo, al no tener en cuenta esta área de conocimiento se tiene que, Ingeniería y gestión de operaciones es el área más relevante, seguida por Ingeniería de la información y Gestión estratégica.</w:t>
      </w:r>
    </w:p>
    <w:p w14:paraId="1ACC8DBD" w14:textId="77777777" w:rsidR="00E76440" w:rsidRPr="00DB754C" w:rsidRDefault="00E76440" w:rsidP="00E76440">
      <w:pPr>
        <w:spacing w:line="360" w:lineRule="auto"/>
        <w:rPr>
          <w:rFonts w:ascii="Times New Roman" w:hAnsi="Times New Roman" w:cs="Times New Roman"/>
          <w:color w:val="000000"/>
        </w:rPr>
      </w:pPr>
    </w:p>
    <w:p w14:paraId="3ABD10B3" w14:textId="77777777"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Si se hace un análisis por país, se tiene que Colombia le da más relevancia a un área operacional como la Ingeniería y gestión de operaciones, seguida por un área comercial como Enfoque al cliente, mientras que USA se enfoca en un área financiera como Análisis económico de ingeniería, seguida de un área operacional como la Ingeniería y gestión de operaciones, que es la que se muestra como el área más relevante según este estudio.</w:t>
      </w:r>
    </w:p>
    <w:p w14:paraId="023681E4" w14:textId="34664E46"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En resumen, el área de conocimiento más relevante según la base de datos ocupacional colombiana es Ingeniería y gestión de operaciones, según la base de datos americana es Análisis económico de ingeniería y según las estadísticas de ofertas laborales es Enfoque al cliente. </w:t>
      </w:r>
    </w:p>
    <w:p w14:paraId="53D59943" w14:textId="77777777" w:rsidR="00E76440" w:rsidRPr="00DB754C" w:rsidRDefault="00E76440" w:rsidP="00E76440">
      <w:pPr>
        <w:spacing w:line="360" w:lineRule="auto"/>
        <w:rPr>
          <w:rFonts w:ascii="Times New Roman" w:hAnsi="Times New Roman" w:cs="Times New Roman"/>
          <w:color w:val="000000"/>
        </w:rPr>
      </w:pPr>
    </w:p>
    <w:p w14:paraId="0021B9A9" w14:textId="44658445"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De manera general y en su respectivo orden, las cinco áreas más relevantes del presente estudio son Ingeniería y gestión de operaciones, Enfoque al cliente, Análisis económico de ingeniería, Gestión de recursos humanos y Gestión Estratégica.</w:t>
      </w:r>
    </w:p>
    <w:p w14:paraId="0590183F" w14:textId="77777777" w:rsidR="00E76440" w:rsidRPr="00DB754C" w:rsidRDefault="00E76440" w:rsidP="00E76440">
      <w:pPr>
        <w:spacing w:line="360" w:lineRule="auto"/>
        <w:rPr>
          <w:rFonts w:ascii="Times New Roman" w:hAnsi="Times New Roman" w:cs="Times New Roman"/>
          <w:color w:val="000000"/>
        </w:rPr>
      </w:pPr>
    </w:p>
    <w:p w14:paraId="28DC33DB" w14:textId="1D7E84BE" w:rsidR="00E76440" w:rsidRPr="00DB754C" w:rsidRDefault="00E76440" w:rsidP="00E76440">
      <w:pPr>
        <w:spacing w:line="360" w:lineRule="auto"/>
        <w:rPr>
          <w:rFonts w:ascii="Times New Roman" w:hAnsi="Times New Roman" w:cs="Times New Roman"/>
          <w:color w:val="000000"/>
        </w:rPr>
      </w:pPr>
      <w:r w:rsidRPr="00DB754C">
        <w:rPr>
          <w:rFonts w:ascii="Times New Roman" w:hAnsi="Times New Roman" w:cs="Times New Roman"/>
          <w:color w:val="000000"/>
        </w:rPr>
        <w:t xml:space="preserve">Si se contrastan las cinco áreas más relevantes del presente trabajo, con el plan de estudios de Ingeniería Industrial de la Universidad Industrial de Santander, se tiene que: Ingeniería y gestión de operaciones y Enfoque al cliente, las áreas más relevantes según esta investigación, no lo son para el plan de estudios. </w:t>
      </w:r>
    </w:p>
    <w:p w14:paraId="63DCE782" w14:textId="77777777" w:rsidR="00E76440" w:rsidRPr="00DB754C" w:rsidRDefault="00E76440" w:rsidP="00E76440">
      <w:pPr>
        <w:spacing w:line="360" w:lineRule="auto"/>
        <w:rPr>
          <w:rFonts w:ascii="Times New Roman" w:hAnsi="Times New Roman" w:cs="Times New Roman"/>
          <w:color w:val="000000"/>
        </w:rPr>
      </w:pPr>
    </w:p>
    <w:p w14:paraId="38F15F95" w14:textId="147675F2" w:rsidR="00AF5470" w:rsidRPr="00DB754C" w:rsidRDefault="007F743D" w:rsidP="00E76440">
      <w:pPr>
        <w:spacing w:line="360" w:lineRule="auto"/>
        <w:rPr>
          <w:rFonts w:ascii="Times New Roman" w:hAnsi="Times New Roman" w:cs="Times New Roman"/>
          <w:color w:val="000000"/>
        </w:rPr>
      </w:pPr>
      <w:r w:rsidRPr="00DB754C">
        <w:rPr>
          <w:rFonts w:ascii="Times New Roman" w:hAnsi="Times New Roman" w:cs="Times New Roman"/>
          <w:color w:val="000000"/>
        </w:rPr>
        <w:t>Las</w:t>
      </w:r>
      <w:r w:rsidR="00E76440" w:rsidRPr="00DB754C">
        <w:rPr>
          <w:rFonts w:ascii="Times New Roman" w:hAnsi="Times New Roman" w:cs="Times New Roman"/>
          <w:color w:val="000000"/>
        </w:rPr>
        <w:t xml:space="preserve"> dos áreas de conocimiento con más asignaturas no coinciden con las áreas identificadas como las más relevantes en el presente estudio. Análisis económico de ingeniería, el área que acoge más asignaturas del plan de estudios se encuentra como la tercera más relevante en este trabajo. Lo que no sucede con Ingeniería de calidad y confiabilidad, que es la </w:t>
      </w:r>
      <w:r w:rsidR="00E76440" w:rsidRPr="00DB754C">
        <w:rPr>
          <w:rFonts w:ascii="Times New Roman" w:hAnsi="Times New Roman" w:cs="Times New Roman"/>
          <w:color w:val="000000"/>
        </w:rPr>
        <w:lastRenderedPageBreak/>
        <w:t>segunda área de conocimiento con más asignaturas del plan de estudios, pero no se identificó dentro de las cinco áreas más relevantes de la presente investigación.</w:t>
      </w:r>
      <w:r w:rsidR="00AF5470" w:rsidRPr="00DB754C">
        <w:rPr>
          <w:rFonts w:ascii="Times New Roman" w:hAnsi="Times New Roman" w:cs="Times New Roman"/>
          <w:color w:val="000000"/>
        </w:rPr>
        <w:t xml:space="preserve"> </w:t>
      </w:r>
    </w:p>
    <w:p w14:paraId="1AAD9ABF" w14:textId="1116549A" w:rsidR="00E76440" w:rsidRPr="00DB754C" w:rsidRDefault="00E76440" w:rsidP="00E76440">
      <w:pPr>
        <w:spacing w:line="360" w:lineRule="auto"/>
        <w:rPr>
          <w:rFonts w:ascii="Times New Roman" w:hAnsi="Times New Roman" w:cs="Times New Roman"/>
          <w:color w:val="000000"/>
        </w:rPr>
      </w:pPr>
    </w:p>
    <w:p w14:paraId="20B848CD" w14:textId="77777777" w:rsidR="00E76440" w:rsidRPr="00DB754C" w:rsidRDefault="00E76440" w:rsidP="00E76440">
      <w:pPr>
        <w:spacing w:line="360" w:lineRule="auto"/>
        <w:rPr>
          <w:rFonts w:ascii="Times New Roman" w:hAnsi="Times New Roman" w:cs="Times New Roman"/>
          <w:color w:val="000000"/>
        </w:rPr>
      </w:pPr>
    </w:p>
    <w:p w14:paraId="06C8464F" w14:textId="77777777" w:rsidR="00C607A0" w:rsidRPr="00DB754C" w:rsidRDefault="00C607A0" w:rsidP="00324459">
      <w:pPr>
        <w:spacing w:line="360" w:lineRule="auto"/>
        <w:jc w:val="center"/>
        <w:rPr>
          <w:rFonts w:ascii="Times New Roman" w:hAnsi="Times New Roman" w:cs="Times New Roman"/>
          <w:b/>
          <w:color w:val="000000"/>
          <w:lang w:val="en-US"/>
        </w:rPr>
      </w:pPr>
      <w:r w:rsidRPr="00DB754C">
        <w:rPr>
          <w:rFonts w:ascii="Times New Roman" w:hAnsi="Times New Roman" w:cs="Times New Roman"/>
          <w:b/>
          <w:color w:val="000000"/>
          <w:lang w:val="en-US"/>
        </w:rPr>
        <w:t xml:space="preserve">Referencias </w:t>
      </w:r>
    </w:p>
    <w:p w14:paraId="4C3E01EA" w14:textId="77777777" w:rsidR="00CC043B" w:rsidRPr="00DB754C" w:rsidRDefault="00CC043B" w:rsidP="00324459">
      <w:pPr>
        <w:spacing w:line="360" w:lineRule="auto"/>
        <w:jc w:val="center"/>
        <w:rPr>
          <w:rFonts w:ascii="Times New Roman" w:hAnsi="Times New Roman" w:cs="Times New Roman"/>
          <w:b/>
          <w:color w:val="000000"/>
          <w:lang w:val="en-US"/>
        </w:rPr>
      </w:pPr>
    </w:p>
    <w:p w14:paraId="13BD93E2"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Akdur, D. (2021). Skills Gaps in the Industry: Opinions of Embedded Software Practitioners. </w:t>
      </w:r>
      <w:r w:rsidRPr="00DB754C">
        <w:rPr>
          <w:rFonts w:ascii="Times New Roman" w:hAnsi="Times New Roman" w:cs="Times New Roman"/>
          <w:i/>
          <w:color w:val="000000"/>
          <w:lang w:val="en-US"/>
        </w:rPr>
        <w:t>ACM Transactions on Embedded Computing Systems (TECS), 20</w:t>
      </w:r>
      <w:r w:rsidRPr="00DB754C">
        <w:rPr>
          <w:rFonts w:ascii="Times New Roman" w:hAnsi="Times New Roman" w:cs="Times New Roman"/>
          <w:color w:val="000000"/>
          <w:lang w:val="en-US"/>
        </w:rPr>
        <w:t>(5), 1-39.</w:t>
      </w:r>
    </w:p>
    <w:p w14:paraId="6ADF0563"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Aldana, M. B. A., Chanagá, L. A., Melgarejo, C. G. D., Duarte, D. A. G., &amp; Valencia, R. M. P. (2011). </w:t>
      </w:r>
      <w:r w:rsidRPr="00DB754C">
        <w:rPr>
          <w:rFonts w:ascii="Times New Roman" w:hAnsi="Times New Roman" w:cs="Times New Roman"/>
          <w:color w:val="000000"/>
        </w:rPr>
        <w:t xml:space="preserve">Evaluación del graduado de Ingeniería Industrial de la Universidad Industrial de Santander: Perspectiva de los empleadores de Bucaramanga y su Área Metropolitana. </w:t>
      </w:r>
      <w:r w:rsidRPr="00DB754C">
        <w:rPr>
          <w:rFonts w:ascii="Times New Roman" w:hAnsi="Times New Roman" w:cs="Times New Roman"/>
          <w:i/>
          <w:color w:val="000000"/>
          <w:lang w:val="en-US"/>
        </w:rPr>
        <w:t>Revista Docencia Universitaria, 12</w:t>
      </w:r>
      <w:r w:rsidRPr="00DB754C">
        <w:rPr>
          <w:rFonts w:ascii="Times New Roman" w:hAnsi="Times New Roman" w:cs="Times New Roman"/>
          <w:color w:val="000000"/>
          <w:lang w:val="en-US"/>
        </w:rPr>
        <w:t>(1), 23-44.</w:t>
      </w:r>
    </w:p>
    <w:p w14:paraId="08DEA154"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lang w:val="en-US"/>
        </w:rPr>
        <w:t xml:space="preserve">Al-Ghamdi, K. A. (2014). A survey of the practices of the approaches taught in an industrial engineering undergraduate programme. </w:t>
      </w:r>
      <w:r w:rsidRPr="00DB754C">
        <w:rPr>
          <w:rFonts w:ascii="Times New Roman" w:hAnsi="Times New Roman" w:cs="Times New Roman"/>
          <w:i/>
          <w:color w:val="000000"/>
        </w:rPr>
        <w:t>South African Journal of Industrial Engineering, 25</w:t>
      </w:r>
      <w:r w:rsidRPr="00DB754C">
        <w:rPr>
          <w:rFonts w:ascii="Times New Roman" w:hAnsi="Times New Roman" w:cs="Times New Roman"/>
          <w:color w:val="000000"/>
        </w:rPr>
        <w:t>(2), 121-134.</w:t>
      </w:r>
    </w:p>
    <w:p w14:paraId="5FDFB874"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rPr>
        <w:t xml:space="preserve">Artaza, C. H. (2011). El mercado laboral de los titulados en Biblioteconomía y Documentación: análisis de las ofertas de empleo publicadas en IWETEL durante el periodo 2000-2007. </w:t>
      </w:r>
      <w:r w:rsidRPr="00DB754C">
        <w:rPr>
          <w:rFonts w:ascii="Times New Roman" w:hAnsi="Times New Roman" w:cs="Times New Roman"/>
          <w:i/>
          <w:color w:val="000000"/>
          <w:lang w:val="en-US"/>
        </w:rPr>
        <w:t xml:space="preserve">Biblios: Journal of Librarianship and Information Science, </w:t>
      </w:r>
      <w:r w:rsidRPr="00DB754C">
        <w:rPr>
          <w:rFonts w:ascii="Times New Roman" w:hAnsi="Times New Roman" w:cs="Times New Roman"/>
          <w:color w:val="000000"/>
          <w:lang w:val="en-US"/>
        </w:rPr>
        <w:t>(44), 1-11.</w:t>
      </w:r>
    </w:p>
    <w:p w14:paraId="24B42909" w14:textId="77777777" w:rsidR="000E3BD4" w:rsidRPr="008758B7"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Bucak, S., Tuiebakhova, Z., &amp; Kadirgan, N. (2007). Bridging the gap between chemical engineering education and industrial practice. </w:t>
      </w:r>
      <w:r w:rsidRPr="008758B7">
        <w:rPr>
          <w:rFonts w:ascii="Times New Roman" w:hAnsi="Times New Roman" w:cs="Times New Roman"/>
          <w:i/>
          <w:color w:val="000000"/>
          <w:lang w:val="en-US"/>
        </w:rPr>
        <w:t>International Journal of Engineering Education, 23</w:t>
      </w:r>
      <w:r w:rsidRPr="008758B7">
        <w:rPr>
          <w:rFonts w:ascii="Times New Roman" w:hAnsi="Times New Roman" w:cs="Times New Roman"/>
          <w:color w:val="000000"/>
          <w:lang w:val="en-US"/>
        </w:rPr>
        <w:t>(6),</w:t>
      </w:r>
      <w:r w:rsidRPr="008758B7">
        <w:rPr>
          <w:rFonts w:ascii="Times New Roman" w:hAnsi="Times New Roman" w:cs="Times New Roman"/>
          <w:i/>
          <w:color w:val="000000"/>
          <w:lang w:val="en-US"/>
        </w:rPr>
        <w:t xml:space="preserve"> </w:t>
      </w:r>
      <w:r w:rsidRPr="008758B7">
        <w:rPr>
          <w:rFonts w:ascii="Times New Roman" w:hAnsi="Times New Roman" w:cs="Times New Roman"/>
          <w:color w:val="000000"/>
          <w:lang w:val="en-US"/>
        </w:rPr>
        <w:t xml:space="preserve">1219. </w:t>
      </w:r>
    </w:p>
    <w:p w14:paraId="2E971184" w14:textId="77777777" w:rsidR="000E3BD4" w:rsidRPr="008758B7" w:rsidRDefault="000E3BD4" w:rsidP="000E3BD4">
      <w:pPr>
        <w:spacing w:line="360" w:lineRule="auto"/>
        <w:ind w:left="709" w:hanging="709"/>
        <w:rPr>
          <w:rFonts w:ascii="Times New Roman" w:hAnsi="Times New Roman" w:cs="Times New Roman"/>
          <w:color w:val="000000"/>
          <w:lang w:val="en-US"/>
        </w:rPr>
      </w:pPr>
      <w:r w:rsidRPr="008758B7">
        <w:rPr>
          <w:rFonts w:ascii="Times New Roman" w:hAnsi="Times New Roman" w:cs="Times New Roman"/>
          <w:color w:val="000000"/>
          <w:lang w:val="en-US"/>
        </w:rPr>
        <w:t xml:space="preserve">Escuela de estudios Industriales y Empresariales, (s.f). </w:t>
      </w:r>
      <w:r w:rsidRPr="008758B7">
        <w:rPr>
          <w:rFonts w:ascii="Times New Roman" w:hAnsi="Times New Roman" w:cs="Times New Roman"/>
          <w:i/>
          <w:color w:val="000000"/>
          <w:lang w:val="en-US"/>
        </w:rPr>
        <w:t xml:space="preserve">Ingeniería Industrial Plan 11. </w:t>
      </w:r>
      <w:hyperlink r:id="rId25" w:history="1">
        <w:r w:rsidRPr="008758B7">
          <w:rPr>
            <w:rStyle w:val="Hipervnculo"/>
            <w:rFonts w:ascii="Times New Roman" w:hAnsi="Times New Roman" w:cs="Times New Roman"/>
            <w:color w:val="000000"/>
            <w:lang w:val="en-US"/>
          </w:rPr>
          <w:t>http://industrial.uis.edu.co/eisi/eisi.jsp?IdServicio=S697</w:t>
        </w:r>
      </w:hyperlink>
      <w:r w:rsidRPr="008758B7">
        <w:rPr>
          <w:rFonts w:ascii="Times New Roman" w:hAnsi="Times New Roman" w:cs="Times New Roman"/>
          <w:color w:val="000000"/>
          <w:lang w:val="en-US"/>
        </w:rPr>
        <w:t xml:space="preserve"> </w:t>
      </w:r>
    </w:p>
    <w:p w14:paraId="7487C739"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 xml:space="preserve">González, O. E. G., &amp; Durán, N. I. P. (2014). Competencias específicas solicitadas al recién egresado de ingeniería industrial por el sector servicios en Bogotá. </w:t>
      </w:r>
      <w:r w:rsidRPr="00DB754C">
        <w:rPr>
          <w:rFonts w:ascii="Times New Roman" w:hAnsi="Times New Roman" w:cs="Times New Roman"/>
          <w:i/>
          <w:color w:val="000000"/>
        </w:rPr>
        <w:t>Ciencia e Ingeniería Neogranadina, 24</w:t>
      </w:r>
      <w:r w:rsidRPr="00DB754C">
        <w:rPr>
          <w:rFonts w:ascii="Times New Roman" w:hAnsi="Times New Roman" w:cs="Times New Roman"/>
          <w:color w:val="000000"/>
        </w:rPr>
        <w:t>(1), 163-179.</w:t>
      </w:r>
    </w:p>
    <w:p w14:paraId="17F2C07C"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 xml:space="preserve">Hamid-Betancur, N. E., Álvarez-Salazar, J., &amp; Torres-Madroñero, M. C. (2017). Propuesta metodológica para medir la pertinencia y el impacto de programas de pregrado en ingeniería. </w:t>
      </w:r>
      <w:r w:rsidRPr="00DB754C">
        <w:rPr>
          <w:rFonts w:ascii="Times New Roman" w:hAnsi="Times New Roman" w:cs="Times New Roman"/>
          <w:i/>
          <w:color w:val="000000"/>
        </w:rPr>
        <w:t>Revista educación en Ingeniería, 12</w:t>
      </w:r>
      <w:r w:rsidRPr="00DB754C">
        <w:rPr>
          <w:rFonts w:ascii="Times New Roman" w:hAnsi="Times New Roman" w:cs="Times New Roman"/>
          <w:color w:val="000000"/>
        </w:rPr>
        <w:t>(24), 97-100.</w:t>
      </w:r>
    </w:p>
    <w:p w14:paraId="56CF0261"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lastRenderedPageBreak/>
        <w:t>Hernández, A., &amp; Ubaldo, N. (2019). Diagnóstico de las principales áreas de formación continua en el ámbito de la Ingeniería Industrial para la generación de ofertas curriculares (Doctoral dissertation, Universidad de El Salvador).</w:t>
      </w:r>
    </w:p>
    <w:p w14:paraId="5E9B18F4"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Herrera Roa, N. A., &amp; Rodríguez Guzmán, C. E. (2018). Análisis comparativo del mercado laboral en Bogotá, para los programas de Contaduría Pública y Administración de Empresas en relación con la oferta académica de la Universidad de La Salle.</w:t>
      </w:r>
    </w:p>
    <w:p w14:paraId="7F19410C"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rPr>
        <w:t xml:space="preserve">Horrillo-Tello, J., &amp; Triado-Aymerich, J. (2018). </w:t>
      </w:r>
      <w:r w:rsidRPr="00DB754C">
        <w:rPr>
          <w:rFonts w:ascii="Times New Roman" w:hAnsi="Times New Roman" w:cs="Times New Roman"/>
          <w:color w:val="000000"/>
          <w:lang w:val="en-US"/>
        </w:rPr>
        <w:t xml:space="preserve">Training gaps in engineering degrees for Industry 4.0 in Spain. A proposal for actions. </w:t>
      </w:r>
      <w:r w:rsidRPr="00DB754C">
        <w:rPr>
          <w:rFonts w:ascii="Times New Roman" w:hAnsi="Times New Roman" w:cs="Times New Roman"/>
          <w:i/>
          <w:color w:val="000000"/>
          <w:lang w:val="en-US"/>
        </w:rPr>
        <w:t>DYNA, 93</w:t>
      </w:r>
      <w:r w:rsidRPr="00DB754C">
        <w:rPr>
          <w:rFonts w:ascii="Times New Roman" w:hAnsi="Times New Roman" w:cs="Times New Roman"/>
          <w:color w:val="000000"/>
          <w:lang w:val="en-US"/>
        </w:rPr>
        <w:t>(4).</w:t>
      </w:r>
    </w:p>
    <w:p w14:paraId="06E16598"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Institute of Industrial Systems Engineers (2021). Industrial and Systems Engineering Body of Knowledge. </w:t>
      </w:r>
    </w:p>
    <w:p w14:paraId="100331FE"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 xml:space="preserve">Lamos-Díaz, H., Ramírez-Sierra, Y. A., &amp; Rangel-Granados, M. L. (2020). Seguimiento a graduados del programa Ingeniería Industrial de la Universidad Industrial de Santander mediante análisis multivariado y la red profesional LinkedIn. </w:t>
      </w:r>
      <w:r w:rsidRPr="00DB754C">
        <w:rPr>
          <w:rFonts w:ascii="Times New Roman" w:hAnsi="Times New Roman" w:cs="Times New Roman"/>
          <w:i/>
          <w:color w:val="000000"/>
        </w:rPr>
        <w:t>Revista Educación en Ingeniería, 15</w:t>
      </w:r>
      <w:r w:rsidRPr="00DB754C">
        <w:rPr>
          <w:rFonts w:ascii="Times New Roman" w:hAnsi="Times New Roman" w:cs="Times New Roman"/>
          <w:color w:val="000000"/>
        </w:rPr>
        <w:t>(29), 73-82.</w:t>
      </w:r>
    </w:p>
    <w:p w14:paraId="65A19278"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 xml:space="preserve">Maynard, H. (1987). Manual del Ingeniero Industrial. </w:t>
      </w:r>
    </w:p>
    <w:p w14:paraId="027D0474" w14:textId="77777777" w:rsidR="000E3BD4" w:rsidRPr="00DB754C" w:rsidRDefault="000E3BD4" w:rsidP="000E3BD4">
      <w:pPr>
        <w:spacing w:line="360" w:lineRule="auto"/>
        <w:ind w:left="709" w:hanging="709"/>
        <w:rPr>
          <w:rFonts w:ascii="Times New Roman" w:hAnsi="Times New Roman" w:cs="Times New Roman"/>
          <w:i/>
          <w:color w:val="000000"/>
        </w:rPr>
      </w:pPr>
      <w:r w:rsidRPr="00DB754C">
        <w:rPr>
          <w:rFonts w:ascii="Times New Roman" w:hAnsi="Times New Roman" w:cs="Times New Roman"/>
          <w:color w:val="000000"/>
        </w:rPr>
        <w:t xml:space="preserve">Mercado, N. N., Puello Pereira, N. D. R., &amp; Ospino Valdiris, F. (2010). Seguimiento a los graduados de ingeniería: Una ventana a la pertinencia en el entorno laboral y académico. </w:t>
      </w:r>
      <w:r w:rsidRPr="00DB754C">
        <w:rPr>
          <w:rFonts w:ascii="Times New Roman" w:hAnsi="Times New Roman" w:cs="Times New Roman"/>
          <w:i/>
          <w:color w:val="000000"/>
        </w:rPr>
        <w:t>Educosta.</w:t>
      </w:r>
    </w:p>
    <w:p w14:paraId="1120771D"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Ministerio de Educación Nacional. (2017). Plan Nacional Decenal de Educación 2016-2026, El camino hacia la calidad y la equidad.</w:t>
      </w:r>
    </w:p>
    <w:p w14:paraId="25864405"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O*NET Resource Center, (s.f). </w:t>
      </w:r>
      <w:r w:rsidRPr="00DB754C">
        <w:rPr>
          <w:rFonts w:ascii="Times New Roman" w:hAnsi="Times New Roman" w:cs="Times New Roman"/>
          <w:i/>
          <w:color w:val="000000"/>
          <w:lang w:val="en-US"/>
        </w:rPr>
        <w:t xml:space="preserve">Tasks to DWAs. </w:t>
      </w:r>
      <w:hyperlink r:id="rId26" w:history="1">
        <w:r w:rsidRPr="00DB754C">
          <w:rPr>
            <w:rStyle w:val="Hipervnculo"/>
            <w:rFonts w:ascii="Times New Roman" w:hAnsi="Times New Roman" w:cs="Times New Roman"/>
            <w:color w:val="000000"/>
            <w:lang w:val="en-US"/>
          </w:rPr>
          <w:t>https://www.onetcenter.org/dictionary/26.3/excel/tasks_to_dwas.html</w:t>
        </w:r>
      </w:hyperlink>
      <w:r w:rsidRPr="00DB754C">
        <w:rPr>
          <w:rFonts w:ascii="Times New Roman" w:hAnsi="Times New Roman" w:cs="Times New Roman"/>
          <w:color w:val="000000"/>
          <w:lang w:val="en-US"/>
        </w:rPr>
        <w:t xml:space="preserve"> </w:t>
      </w:r>
    </w:p>
    <w:p w14:paraId="2AEC2BF0"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Passow, H. J. (2012). Which ABET competencies do engineering graduates find most important in their work?. </w:t>
      </w:r>
      <w:r w:rsidRPr="00DB754C">
        <w:rPr>
          <w:rFonts w:ascii="Times New Roman" w:hAnsi="Times New Roman" w:cs="Times New Roman"/>
          <w:i/>
          <w:color w:val="000000"/>
          <w:lang w:val="en-US"/>
        </w:rPr>
        <w:t>Journal of Engineering Education, 101</w:t>
      </w:r>
      <w:r w:rsidRPr="00DB754C">
        <w:rPr>
          <w:rFonts w:ascii="Times New Roman" w:hAnsi="Times New Roman" w:cs="Times New Roman"/>
          <w:color w:val="000000"/>
          <w:lang w:val="en-US"/>
        </w:rPr>
        <w:t>(1), 95-118.</w:t>
      </w:r>
    </w:p>
    <w:p w14:paraId="415E71E6"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Passow, H. J., &amp; Passow, C. H. (2017). What competencies should undergraduate engineering programs emphasize? A systematic review. </w:t>
      </w:r>
      <w:r w:rsidRPr="00DB754C">
        <w:rPr>
          <w:rFonts w:ascii="Times New Roman" w:hAnsi="Times New Roman" w:cs="Times New Roman"/>
          <w:i/>
          <w:color w:val="000000"/>
          <w:lang w:val="en-US"/>
        </w:rPr>
        <w:t>Journal of Engineering Education, 106</w:t>
      </w:r>
      <w:r w:rsidRPr="00DB754C">
        <w:rPr>
          <w:rFonts w:ascii="Times New Roman" w:hAnsi="Times New Roman" w:cs="Times New Roman"/>
          <w:color w:val="000000"/>
          <w:lang w:val="en-US"/>
        </w:rPr>
        <w:t>(3), 475-526.</w:t>
      </w:r>
    </w:p>
    <w:p w14:paraId="5F446AFB" w14:textId="77777777" w:rsidR="000E3BD4" w:rsidRPr="00DB754C" w:rsidRDefault="000E3BD4" w:rsidP="000E3BD4">
      <w:pPr>
        <w:spacing w:line="360" w:lineRule="auto"/>
        <w:ind w:left="709" w:hanging="709"/>
        <w:rPr>
          <w:rFonts w:ascii="Times New Roman" w:hAnsi="Times New Roman" w:cs="Times New Roman"/>
          <w:color w:val="000000"/>
          <w:lang w:val="en-US"/>
        </w:rPr>
      </w:pPr>
      <w:r w:rsidRPr="00DB754C">
        <w:rPr>
          <w:rFonts w:ascii="Times New Roman" w:hAnsi="Times New Roman" w:cs="Times New Roman"/>
          <w:color w:val="000000"/>
          <w:lang w:val="en-US"/>
        </w:rPr>
        <w:t xml:space="preserve">Ricardo, M. C. J., Marchena, M. U., Padrón, R. P., &amp; Llanes, P. G. (2005). </w:t>
      </w:r>
      <w:r w:rsidRPr="00DB754C">
        <w:rPr>
          <w:rFonts w:ascii="Times New Roman" w:hAnsi="Times New Roman" w:cs="Times New Roman"/>
          <w:color w:val="000000"/>
        </w:rPr>
        <w:t xml:space="preserve">Pertinencia e impacto social de la carrera de Ingeniería Química de la Universidad de Camagüey. </w:t>
      </w:r>
      <w:r w:rsidRPr="00DB754C">
        <w:rPr>
          <w:rFonts w:ascii="Times New Roman" w:hAnsi="Times New Roman" w:cs="Times New Roman"/>
          <w:i/>
          <w:color w:val="000000"/>
          <w:lang w:val="en-US"/>
        </w:rPr>
        <w:t>Tecnología Química</w:t>
      </w:r>
      <w:r w:rsidRPr="00DB754C">
        <w:rPr>
          <w:rFonts w:ascii="Times New Roman" w:hAnsi="Times New Roman" w:cs="Times New Roman"/>
          <w:color w:val="000000"/>
          <w:lang w:val="en-US"/>
        </w:rPr>
        <w:t xml:space="preserve">, </w:t>
      </w:r>
      <w:r w:rsidRPr="00DB754C">
        <w:rPr>
          <w:rFonts w:ascii="Times New Roman" w:hAnsi="Times New Roman" w:cs="Times New Roman"/>
          <w:i/>
          <w:color w:val="000000"/>
          <w:lang w:val="en-US"/>
        </w:rPr>
        <w:t>25</w:t>
      </w:r>
      <w:r w:rsidRPr="00DB754C">
        <w:rPr>
          <w:rFonts w:ascii="Times New Roman" w:hAnsi="Times New Roman" w:cs="Times New Roman"/>
          <w:color w:val="000000"/>
          <w:lang w:val="en-US"/>
        </w:rPr>
        <w:t>(3), 52-56.</w:t>
      </w:r>
    </w:p>
    <w:p w14:paraId="5EC904A3"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lang w:val="en-US"/>
        </w:rPr>
        <w:lastRenderedPageBreak/>
        <w:t xml:space="preserve">Rosselot, E. (2003). Looking for the physicians that our countries need: emphasis on communication and training of academics. </w:t>
      </w:r>
      <w:r w:rsidRPr="00DB754C">
        <w:rPr>
          <w:rFonts w:ascii="Times New Roman" w:hAnsi="Times New Roman" w:cs="Times New Roman"/>
          <w:i/>
          <w:color w:val="000000"/>
        </w:rPr>
        <w:t>Revista médica de Chile, 131</w:t>
      </w:r>
      <w:r w:rsidRPr="00DB754C">
        <w:rPr>
          <w:rFonts w:ascii="Times New Roman" w:hAnsi="Times New Roman" w:cs="Times New Roman"/>
          <w:color w:val="000000"/>
        </w:rPr>
        <w:t>(3), 331-337.</w:t>
      </w:r>
    </w:p>
    <w:p w14:paraId="60C3B8CE"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Salazar, E., Mp, R. Á., &amp; de la Cruz, S. D. R. (2012). Demandas de desarrollo técnico-científico y profesional en ingeniería industrial en Mexicali Baja California, México.</w:t>
      </w:r>
    </w:p>
    <w:p w14:paraId="4F959DA3"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 xml:space="preserve">Servicio Nacional de Aprendizaje SENA, (s.f.). </w:t>
      </w:r>
      <w:r w:rsidRPr="00DB754C">
        <w:rPr>
          <w:rFonts w:ascii="Times New Roman" w:hAnsi="Times New Roman" w:cs="Times New Roman"/>
          <w:i/>
          <w:color w:val="000000"/>
        </w:rPr>
        <w:t>Clasificación Nacional de Ocupaciones.</w:t>
      </w:r>
      <w:r w:rsidRPr="00DB754C">
        <w:rPr>
          <w:rFonts w:ascii="Times New Roman" w:hAnsi="Times New Roman" w:cs="Times New Roman"/>
          <w:color w:val="000000"/>
        </w:rPr>
        <w:t xml:space="preserve"> </w:t>
      </w:r>
      <w:hyperlink r:id="rId27" w:history="1">
        <w:r w:rsidRPr="00DB754C">
          <w:rPr>
            <w:rStyle w:val="Hipervnculo"/>
            <w:rFonts w:ascii="Times New Roman" w:hAnsi="Times New Roman" w:cs="Times New Roman"/>
            <w:color w:val="000000"/>
          </w:rPr>
          <w:t>https://observatorio.sena.edu.co/Clasificacion/Cno</w:t>
        </w:r>
      </w:hyperlink>
      <w:r w:rsidRPr="00DB754C">
        <w:rPr>
          <w:rFonts w:ascii="Times New Roman" w:hAnsi="Times New Roman" w:cs="Times New Roman"/>
          <w:color w:val="000000"/>
        </w:rPr>
        <w:t xml:space="preserve"> </w:t>
      </w:r>
    </w:p>
    <w:p w14:paraId="39CD5826" w14:textId="77777777" w:rsidR="000E3BD4" w:rsidRPr="00DB754C" w:rsidRDefault="000E3BD4" w:rsidP="000E3BD4">
      <w:pPr>
        <w:spacing w:line="360" w:lineRule="auto"/>
        <w:ind w:left="709" w:hanging="709"/>
        <w:rPr>
          <w:rStyle w:val="Hipervnculo"/>
          <w:rFonts w:ascii="Times New Roman" w:hAnsi="Times New Roman" w:cs="Times New Roman"/>
          <w:color w:val="000000"/>
        </w:rPr>
      </w:pPr>
      <w:r w:rsidRPr="00DB754C">
        <w:rPr>
          <w:rFonts w:ascii="Times New Roman" w:hAnsi="Times New Roman" w:cs="Times New Roman"/>
          <w:color w:val="000000"/>
        </w:rPr>
        <w:t xml:space="preserve">Servicio Nacional de Aprendizaje SENA, (s.f.). </w:t>
      </w:r>
      <w:r w:rsidRPr="00DB754C">
        <w:rPr>
          <w:rFonts w:ascii="Times New Roman" w:hAnsi="Times New Roman" w:cs="Times New Roman"/>
          <w:i/>
          <w:color w:val="000000"/>
        </w:rPr>
        <w:t>Tendencia de las Ocupaciones</w:t>
      </w:r>
      <w:r w:rsidRPr="00DB754C">
        <w:rPr>
          <w:rFonts w:ascii="Times New Roman" w:hAnsi="Times New Roman" w:cs="Times New Roman"/>
          <w:color w:val="000000"/>
        </w:rPr>
        <w:t xml:space="preserve">. </w:t>
      </w:r>
      <w:hyperlink r:id="rId28" w:history="1">
        <w:r w:rsidRPr="00DB754C">
          <w:rPr>
            <w:rStyle w:val="Hipervnculo"/>
            <w:rFonts w:ascii="Times New Roman" w:hAnsi="Times New Roman" w:cs="Times New Roman"/>
            <w:color w:val="000000"/>
          </w:rPr>
          <w:t>https://observatorio.sena.edu.co/Tendencia/Informes</w:t>
        </w:r>
      </w:hyperlink>
      <w:r w:rsidRPr="00DB754C">
        <w:rPr>
          <w:rFonts w:ascii="Times New Roman" w:hAnsi="Times New Roman" w:cs="Times New Roman"/>
          <w:color w:val="000000"/>
        </w:rPr>
        <w:t xml:space="preserve"> </w:t>
      </w:r>
    </w:p>
    <w:p w14:paraId="15BB6CCB"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Solis, A. M., Luna, P. M., &amp; Cabriales, J. G. (s.f). Competencias profesionales que demanda el mercado laboral sector maquilador de un egresado de Ingeniería Industrial.</w:t>
      </w:r>
    </w:p>
    <w:p w14:paraId="52496A0F"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 xml:space="preserve">UNESCO (1998). Declaración mundial sobre la educación superior en el siglo XXI: visión y acción. </w:t>
      </w:r>
    </w:p>
    <w:p w14:paraId="657691C5" w14:textId="77777777" w:rsidR="000E3BD4" w:rsidRPr="00DB754C" w:rsidRDefault="000E3BD4" w:rsidP="000E3BD4">
      <w:pPr>
        <w:spacing w:line="360" w:lineRule="auto"/>
        <w:ind w:left="709" w:hanging="709"/>
        <w:rPr>
          <w:rFonts w:ascii="Times New Roman" w:hAnsi="Times New Roman" w:cs="Times New Roman"/>
          <w:color w:val="000000"/>
        </w:rPr>
      </w:pPr>
      <w:r w:rsidRPr="00DB754C">
        <w:rPr>
          <w:rFonts w:ascii="Times New Roman" w:hAnsi="Times New Roman" w:cs="Times New Roman"/>
          <w:color w:val="000000"/>
        </w:rPr>
        <w:t>Upegui Mejía, M. V. (2015). Demanda de profesionales en el mercado laboral como una aproximación a la pertinencia de la Educación Superior en Colombia.</w:t>
      </w:r>
    </w:p>
    <w:p w14:paraId="10C327FB" w14:textId="77777777" w:rsidR="000E3BD4" w:rsidRPr="00DB754C" w:rsidRDefault="000E3BD4" w:rsidP="000E3BD4">
      <w:pPr>
        <w:spacing w:line="360" w:lineRule="auto"/>
        <w:ind w:left="709" w:hanging="709"/>
        <w:rPr>
          <w:rFonts w:ascii="Times New Roman" w:hAnsi="Times New Roman" w:cs="Times New Roman"/>
          <w:i/>
          <w:color w:val="000000"/>
        </w:rPr>
      </w:pPr>
      <w:r w:rsidRPr="00DB754C">
        <w:rPr>
          <w:rFonts w:ascii="Times New Roman" w:hAnsi="Times New Roman" w:cs="Times New Roman"/>
          <w:color w:val="000000"/>
        </w:rPr>
        <w:t xml:space="preserve">Zapata, U. F. P. (2020). Estudio de brechas de formación en el programa de ingeniería industrial para la región del valle del cauca. </w:t>
      </w:r>
      <w:r w:rsidRPr="00DB754C">
        <w:rPr>
          <w:rFonts w:ascii="Times New Roman" w:hAnsi="Times New Roman" w:cs="Times New Roman"/>
          <w:i/>
          <w:color w:val="000000"/>
        </w:rPr>
        <w:t>Encuentro Internacional de Educación en Ingeniería.</w:t>
      </w:r>
    </w:p>
    <w:p w14:paraId="3251D203" w14:textId="77777777" w:rsidR="00CC043B" w:rsidRPr="00DB754C" w:rsidRDefault="00CC043B" w:rsidP="00324459">
      <w:pPr>
        <w:spacing w:line="360" w:lineRule="auto"/>
        <w:rPr>
          <w:rFonts w:ascii="Times New Roman" w:hAnsi="Times New Roman" w:cs="Times New Roman"/>
          <w:color w:val="000000"/>
        </w:rPr>
      </w:pPr>
    </w:p>
    <w:sectPr w:rsidR="00CC043B" w:rsidRPr="00DB754C" w:rsidSect="00E76440">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70DE44" w14:textId="77777777" w:rsidR="00BB0206" w:rsidRDefault="00BB0206" w:rsidP="005D10AE">
      <w:r>
        <w:separator/>
      </w:r>
    </w:p>
  </w:endnote>
  <w:endnote w:type="continuationSeparator" w:id="0">
    <w:p w14:paraId="49FD0A28" w14:textId="77777777" w:rsidR="00BB0206" w:rsidRDefault="00BB0206" w:rsidP="005D1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9D3B67" w14:textId="77777777" w:rsidR="00BB0206" w:rsidRDefault="00BB0206" w:rsidP="005D10AE">
      <w:r>
        <w:separator/>
      </w:r>
    </w:p>
  </w:footnote>
  <w:footnote w:type="continuationSeparator" w:id="0">
    <w:p w14:paraId="7966ADF6" w14:textId="77777777" w:rsidR="00BB0206" w:rsidRDefault="00BB0206" w:rsidP="005D10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3E6135"/>
    <w:multiLevelType w:val="hybridMultilevel"/>
    <w:tmpl w:val="F104C2AE"/>
    <w:lvl w:ilvl="0" w:tplc="040A000D">
      <w:start w:val="1"/>
      <w:numFmt w:val="bullet"/>
      <w:lvlText w:val=""/>
      <w:lvlJc w:val="left"/>
      <w:pPr>
        <w:ind w:left="1440" w:hanging="360"/>
      </w:pPr>
      <w:rPr>
        <w:rFonts w:ascii="Wingdings" w:hAnsi="Wingdings"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1" w15:restartNumberingAfterBreak="0">
    <w:nsid w:val="0ECA11F6"/>
    <w:multiLevelType w:val="hybridMultilevel"/>
    <w:tmpl w:val="4F6AFA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0A22726"/>
    <w:multiLevelType w:val="hybridMultilevel"/>
    <w:tmpl w:val="283833CE"/>
    <w:lvl w:ilvl="0" w:tplc="040A0001">
      <w:start w:val="1"/>
      <w:numFmt w:val="bullet"/>
      <w:lvlText w:val=""/>
      <w:lvlJc w:val="left"/>
      <w:pPr>
        <w:ind w:left="1429" w:hanging="360"/>
      </w:pPr>
      <w:rPr>
        <w:rFonts w:ascii="Symbol" w:hAnsi="Symbol" w:hint="default"/>
      </w:rPr>
    </w:lvl>
    <w:lvl w:ilvl="1" w:tplc="040A0003" w:tentative="1">
      <w:start w:val="1"/>
      <w:numFmt w:val="bullet"/>
      <w:lvlText w:val="o"/>
      <w:lvlJc w:val="left"/>
      <w:pPr>
        <w:ind w:left="2149" w:hanging="360"/>
      </w:pPr>
      <w:rPr>
        <w:rFonts w:ascii="Courier New" w:hAnsi="Courier New" w:cs="Courier New" w:hint="default"/>
      </w:rPr>
    </w:lvl>
    <w:lvl w:ilvl="2" w:tplc="040A0005" w:tentative="1">
      <w:start w:val="1"/>
      <w:numFmt w:val="bullet"/>
      <w:lvlText w:val=""/>
      <w:lvlJc w:val="left"/>
      <w:pPr>
        <w:ind w:left="2869" w:hanging="360"/>
      </w:pPr>
      <w:rPr>
        <w:rFonts w:ascii="Wingdings" w:hAnsi="Wingdings" w:hint="default"/>
      </w:rPr>
    </w:lvl>
    <w:lvl w:ilvl="3" w:tplc="040A0001" w:tentative="1">
      <w:start w:val="1"/>
      <w:numFmt w:val="bullet"/>
      <w:lvlText w:val=""/>
      <w:lvlJc w:val="left"/>
      <w:pPr>
        <w:ind w:left="3589" w:hanging="360"/>
      </w:pPr>
      <w:rPr>
        <w:rFonts w:ascii="Symbol" w:hAnsi="Symbol" w:hint="default"/>
      </w:rPr>
    </w:lvl>
    <w:lvl w:ilvl="4" w:tplc="040A0003" w:tentative="1">
      <w:start w:val="1"/>
      <w:numFmt w:val="bullet"/>
      <w:lvlText w:val="o"/>
      <w:lvlJc w:val="left"/>
      <w:pPr>
        <w:ind w:left="4309" w:hanging="360"/>
      </w:pPr>
      <w:rPr>
        <w:rFonts w:ascii="Courier New" w:hAnsi="Courier New" w:cs="Courier New" w:hint="default"/>
      </w:rPr>
    </w:lvl>
    <w:lvl w:ilvl="5" w:tplc="040A0005" w:tentative="1">
      <w:start w:val="1"/>
      <w:numFmt w:val="bullet"/>
      <w:lvlText w:val=""/>
      <w:lvlJc w:val="left"/>
      <w:pPr>
        <w:ind w:left="5029" w:hanging="360"/>
      </w:pPr>
      <w:rPr>
        <w:rFonts w:ascii="Wingdings" w:hAnsi="Wingdings" w:hint="default"/>
      </w:rPr>
    </w:lvl>
    <w:lvl w:ilvl="6" w:tplc="040A0001" w:tentative="1">
      <w:start w:val="1"/>
      <w:numFmt w:val="bullet"/>
      <w:lvlText w:val=""/>
      <w:lvlJc w:val="left"/>
      <w:pPr>
        <w:ind w:left="5749" w:hanging="360"/>
      </w:pPr>
      <w:rPr>
        <w:rFonts w:ascii="Symbol" w:hAnsi="Symbol" w:hint="default"/>
      </w:rPr>
    </w:lvl>
    <w:lvl w:ilvl="7" w:tplc="040A0003" w:tentative="1">
      <w:start w:val="1"/>
      <w:numFmt w:val="bullet"/>
      <w:lvlText w:val="o"/>
      <w:lvlJc w:val="left"/>
      <w:pPr>
        <w:ind w:left="6469" w:hanging="360"/>
      </w:pPr>
      <w:rPr>
        <w:rFonts w:ascii="Courier New" w:hAnsi="Courier New" w:cs="Courier New" w:hint="default"/>
      </w:rPr>
    </w:lvl>
    <w:lvl w:ilvl="8" w:tplc="040A0005" w:tentative="1">
      <w:start w:val="1"/>
      <w:numFmt w:val="bullet"/>
      <w:lvlText w:val=""/>
      <w:lvlJc w:val="left"/>
      <w:pPr>
        <w:ind w:left="7189" w:hanging="360"/>
      </w:pPr>
      <w:rPr>
        <w:rFonts w:ascii="Wingdings" w:hAnsi="Wingdings" w:hint="default"/>
      </w:rPr>
    </w:lvl>
  </w:abstractNum>
  <w:abstractNum w:abstractNumId="3" w15:restartNumberingAfterBreak="0">
    <w:nsid w:val="40E374CB"/>
    <w:multiLevelType w:val="hybridMultilevel"/>
    <w:tmpl w:val="DB389920"/>
    <w:lvl w:ilvl="0" w:tplc="040A000D">
      <w:start w:val="1"/>
      <w:numFmt w:val="bullet"/>
      <w:lvlText w:val=""/>
      <w:lvlJc w:val="left"/>
      <w:pPr>
        <w:ind w:left="1429" w:hanging="360"/>
      </w:pPr>
      <w:rPr>
        <w:rFonts w:ascii="Wingdings" w:hAnsi="Wingdings" w:hint="default"/>
      </w:rPr>
    </w:lvl>
    <w:lvl w:ilvl="1" w:tplc="040A0003" w:tentative="1">
      <w:start w:val="1"/>
      <w:numFmt w:val="bullet"/>
      <w:lvlText w:val="o"/>
      <w:lvlJc w:val="left"/>
      <w:pPr>
        <w:ind w:left="2149" w:hanging="360"/>
      </w:pPr>
      <w:rPr>
        <w:rFonts w:ascii="Courier New" w:hAnsi="Courier New" w:cs="Courier New" w:hint="default"/>
      </w:rPr>
    </w:lvl>
    <w:lvl w:ilvl="2" w:tplc="040A0005" w:tentative="1">
      <w:start w:val="1"/>
      <w:numFmt w:val="bullet"/>
      <w:lvlText w:val=""/>
      <w:lvlJc w:val="left"/>
      <w:pPr>
        <w:ind w:left="2869" w:hanging="360"/>
      </w:pPr>
      <w:rPr>
        <w:rFonts w:ascii="Wingdings" w:hAnsi="Wingdings" w:hint="default"/>
      </w:rPr>
    </w:lvl>
    <w:lvl w:ilvl="3" w:tplc="040A0001" w:tentative="1">
      <w:start w:val="1"/>
      <w:numFmt w:val="bullet"/>
      <w:lvlText w:val=""/>
      <w:lvlJc w:val="left"/>
      <w:pPr>
        <w:ind w:left="3589" w:hanging="360"/>
      </w:pPr>
      <w:rPr>
        <w:rFonts w:ascii="Symbol" w:hAnsi="Symbol" w:hint="default"/>
      </w:rPr>
    </w:lvl>
    <w:lvl w:ilvl="4" w:tplc="040A0003" w:tentative="1">
      <w:start w:val="1"/>
      <w:numFmt w:val="bullet"/>
      <w:lvlText w:val="o"/>
      <w:lvlJc w:val="left"/>
      <w:pPr>
        <w:ind w:left="4309" w:hanging="360"/>
      </w:pPr>
      <w:rPr>
        <w:rFonts w:ascii="Courier New" w:hAnsi="Courier New" w:cs="Courier New" w:hint="default"/>
      </w:rPr>
    </w:lvl>
    <w:lvl w:ilvl="5" w:tplc="040A0005" w:tentative="1">
      <w:start w:val="1"/>
      <w:numFmt w:val="bullet"/>
      <w:lvlText w:val=""/>
      <w:lvlJc w:val="left"/>
      <w:pPr>
        <w:ind w:left="5029" w:hanging="360"/>
      </w:pPr>
      <w:rPr>
        <w:rFonts w:ascii="Wingdings" w:hAnsi="Wingdings" w:hint="default"/>
      </w:rPr>
    </w:lvl>
    <w:lvl w:ilvl="6" w:tplc="040A0001" w:tentative="1">
      <w:start w:val="1"/>
      <w:numFmt w:val="bullet"/>
      <w:lvlText w:val=""/>
      <w:lvlJc w:val="left"/>
      <w:pPr>
        <w:ind w:left="5749" w:hanging="360"/>
      </w:pPr>
      <w:rPr>
        <w:rFonts w:ascii="Symbol" w:hAnsi="Symbol" w:hint="default"/>
      </w:rPr>
    </w:lvl>
    <w:lvl w:ilvl="7" w:tplc="040A0003" w:tentative="1">
      <w:start w:val="1"/>
      <w:numFmt w:val="bullet"/>
      <w:lvlText w:val="o"/>
      <w:lvlJc w:val="left"/>
      <w:pPr>
        <w:ind w:left="6469" w:hanging="360"/>
      </w:pPr>
      <w:rPr>
        <w:rFonts w:ascii="Courier New" w:hAnsi="Courier New" w:cs="Courier New" w:hint="default"/>
      </w:rPr>
    </w:lvl>
    <w:lvl w:ilvl="8" w:tplc="040A0005" w:tentative="1">
      <w:start w:val="1"/>
      <w:numFmt w:val="bullet"/>
      <w:lvlText w:val=""/>
      <w:lvlJc w:val="left"/>
      <w:pPr>
        <w:ind w:left="7189" w:hanging="360"/>
      </w:pPr>
      <w:rPr>
        <w:rFonts w:ascii="Wingdings" w:hAnsi="Wingdings" w:hint="default"/>
      </w:rPr>
    </w:lvl>
  </w:abstractNum>
  <w:abstractNum w:abstractNumId="4" w15:restartNumberingAfterBreak="0">
    <w:nsid w:val="6C971CAE"/>
    <w:multiLevelType w:val="hybridMultilevel"/>
    <w:tmpl w:val="E7C2ABB4"/>
    <w:lvl w:ilvl="0" w:tplc="040A000D">
      <w:start w:val="1"/>
      <w:numFmt w:val="bullet"/>
      <w:lvlText w:val=""/>
      <w:lvlJc w:val="left"/>
      <w:pPr>
        <w:ind w:left="1440" w:hanging="360"/>
      </w:pPr>
      <w:rPr>
        <w:rFonts w:ascii="Wingdings" w:hAnsi="Wingdings"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0AE"/>
    <w:rsid w:val="000B079F"/>
    <w:rsid w:val="000E3BD4"/>
    <w:rsid w:val="00105BB5"/>
    <w:rsid w:val="00175EE4"/>
    <w:rsid w:val="001B4BC4"/>
    <w:rsid w:val="001C77A3"/>
    <w:rsid w:val="001F2289"/>
    <w:rsid w:val="002630B2"/>
    <w:rsid w:val="002B72E8"/>
    <w:rsid w:val="002D4BF7"/>
    <w:rsid w:val="003114A4"/>
    <w:rsid w:val="00324459"/>
    <w:rsid w:val="003E4997"/>
    <w:rsid w:val="0041606C"/>
    <w:rsid w:val="00432CAD"/>
    <w:rsid w:val="00484B43"/>
    <w:rsid w:val="004A518D"/>
    <w:rsid w:val="005704BE"/>
    <w:rsid w:val="005B794B"/>
    <w:rsid w:val="005C4AD1"/>
    <w:rsid w:val="005D10AE"/>
    <w:rsid w:val="00683F9F"/>
    <w:rsid w:val="006A5845"/>
    <w:rsid w:val="006D3C67"/>
    <w:rsid w:val="00715DCF"/>
    <w:rsid w:val="007171B5"/>
    <w:rsid w:val="00775973"/>
    <w:rsid w:val="007C3CB8"/>
    <w:rsid w:val="007F743D"/>
    <w:rsid w:val="008054EB"/>
    <w:rsid w:val="008758B7"/>
    <w:rsid w:val="008C31B4"/>
    <w:rsid w:val="008F3F92"/>
    <w:rsid w:val="0092461B"/>
    <w:rsid w:val="00946DFA"/>
    <w:rsid w:val="009672F6"/>
    <w:rsid w:val="009968A3"/>
    <w:rsid w:val="00A1298F"/>
    <w:rsid w:val="00AF5470"/>
    <w:rsid w:val="00B70B49"/>
    <w:rsid w:val="00BB0206"/>
    <w:rsid w:val="00C000BE"/>
    <w:rsid w:val="00C607A0"/>
    <w:rsid w:val="00CC043B"/>
    <w:rsid w:val="00CF09D3"/>
    <w:rsid w:val="00DB4901"/>
    <w:rsid w:val="00DB754C"/>
    <w:rsid w:val="00DD7468"/>
    <w:rsid w:val="00E76440"/>
    <w:rsid w:val="00EE3918"/>
    <w:rsid w:val="00F456C7"/>
    <w:rsid w:val="00F57A29"/>
    <w:rsid w:val="00F60EBD"/>
    <w:rsid w:val="00FF211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78A1B"/>
  <w15:chartTrackingRefBased/>
  <w15:docId w15:val="{C18313DC-7CBB-2E47-BB93-F3788EA87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5D10AE"/>
    <w:rPr>
      <w:sz w:val="20"/>
      <w:szCs w:val="20"/>
    </w:rPr>
  </w:style>
  <w:style w:type="character" w:customStyle="1" w:styleId="TextonotapieCar">
    <w:name w:val="Texto nota pie Car"/>
    <w:basedOn w:val="Fuentedeprrafopredeter"/>
    <w:link w:val="Textonotapie"/>
    <w:uiPriority w:val="99"/>
    <w:semiHidden/>
    <w:rsid w:val="005D10AE"/>
    <w:rPr>
      <w:sz w:val="20"/>
      <w:szCs w:val="20"/>
    </w:rPr>
  </w:style>
  <w:style w:type="character" w:styleId="Refdenotaalpie">
    <w:name w:val="footnote reference"/>
    <w:basedOn w:val="Fuentedeprrafopredeter"/>
    <w:uiPriority w:val="99"/>
    <w:semiHidden/>
    <w:unhideWhenUsed/>
    <w:rsid w:val="005D10AE"/>
    <w:rPr>
      <w:vertAlign w:val="superscript"/>
    </w:rPr>
  </w:style>
  <w:style w:type="paragraph" w:customStyle="1" w:styleId="Tablita">
    <w:name w:val="Tablita"/>
    <w:basedOn w:val="Normal"/>
    <w:next w:val="Sinespaciado"/>
    <w:link w:val="TablitaCar"/>
    <w:qFormat/>
    <w:rsid w:val="008F3F92"/>
    <w:pPr>
      <w:jc w:val="both"/>
    </w:pPr>
    <w:rPr>
      <w:rFonts w:ascii="Times New Roman" w:eastAsia="Times New Roman" w:hAnsi="Times New Roman" w:cs="Times New Roman"/>
    </w:rPr>
  </w:style>
  <w:style w:type="character" w:customStyle="1" w:styleId="TablitaCar">
    <w:name w:val="Tablita Car"/>
    <w:basedOn w:val="Fuentedeprrafopredeter"/>
    <w:link w:val="Tablita"/>
    <w:rsid w:val="008F3F92"/>
    <w:rPr>
      <w:rFonts w:ascii="Times New Roman" w:eastAsia="Times New Roman" w:hAnsi="Times New Roman" w:cs="Times New Roman"/>
    </w:rPr>
  </w:style>
  <w:style w:type="paragraph" w:styleId="Sinespaciado">
    <w:name w:val="No Spacing"/>
    <w:uiPriority w:val="1"/>
    <w:qFormat/>
    <w:rsid w:val="008F3F92"/>
    <w:rPr>
      <w:lang w:val="es-ES_tradnl"/>
    </w:rPr>
  </w:style>
  <w:style w:type="character" w:styleId="Refdecomentario">
    <w:name w:val="annotation reference"/>
    <w:basedOn w:val="Fuentedeprrafopredeter"/>
    <w:uiPriority w:val="99"/>
    <w:semiHidden/>
    <w:unhideWhenUsed/>
    <w:rsid w:val="008F3F92"/>
    <w:rPr>
      <w:sz w:val="16"/>
      <w:szCs w:val="16"/>
    </w:rPr>
  </w:style>
  <w:style w:type="paragraph" w:styleId="Textocomentario">
    <w:name w:val="annotation text"/>
    <w:basedOn w:val="Normal"/>
    <w:link w:val="TextocomentarioCar"/>
    <w:uiPriority w:val="99"/>
    <w:semiHidden/>
    <w:unhideWhenUsed/>
    <w:rsid w:val="008F3F92"/>
    <w:rPr>
      <w:sz w:val="20"/>
      <w:szCs w:val="20"/>
      <w:lang w:val="es-ES_tradnl"/>
    </w:rPr>
  </w:style>
  <w:style w:type="character" w:customStyle="1" w:styleId="TextocomentarioCar">
    <w:name w:val="Texto comentario Car"/>
    <w:basedOn w:val="Fuentedeprrafopredeter"/>
    <w:link w:val="Textocomentario"/>
    <w:uiPriority w:val="99"/>
    <w:semiHidden/>
    <w:rsid w:val="008F3F92"/>
    <w:rPr>
      <w:sz w:val="20"/>
      <w:szCs w:val="20"/>
      <w:lang w:val="es-ES_tradnl"/>
    </w:rPr>
  </w:style>
  <w:style w:type="paragraph" w:styleId="Textodeglobo">
    <w:name w:val="Balloon Text"/>
    <w:basedOn w:val="Normal"/>
    <w:link w:val="TextodegloboCar"/>
    <w:uiPriority w:val="99"/>
    <w:semiHidden/>
    <w:unhideWhenUsed/>
    <w:rsid w:val="008F3F92"/>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8F3F92"/>
    <w:rPr>
      <w:rFonts w:ascii="Times New Roman" w:hAnsi="Times New Roman" w:cs="Times New Roman"/>
      <w:sz w:val="18"/>
      <w:szCs w:val="18"/>
    </w:rPr>
  </w:style>
  <w:style w:type="table" w:styleId="Tablanormal3">
    <w:name w:val="Plain Table 3"/>
    <w:basedOn w:val="Tablanormal"/>
    <w:uiPriority w:val="43"/>
    <w:rsid w:val="008F3F92"/>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8F3F92"/>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4A518D"/>
    <w:pPr>
      <w:spacing w:before="100" w:beforeAutospacing="1" w:after="100" w:afterAutospacing="1"/>
    </w:pPr>
    <w:rPr>
      <w:rFonts w:ascii="Times New Roman" w:eastAsiaTheme="minorEastAsia" w:hAnsi="Times New Roman" w:cs="Times New Roman"/>
      <w:lang w:val="es-ES_tradnl" w:eastAsia="es-ES_tradnl"/>
    </w:rPr>
  </w:style>
  <w:style w:type="paragraph" w:styleId="Asuntodelcomentario">
    <w:name w:val="annotation subject"/>
    <w:basedOn w:val="Textocomentario"/>
    <w:next w:val="Textocomentario"/>
    <w:link w:val="AsuntodelcomentarioCar"/>
    <w:uiPriority w:val="99"/>
    <w:semiHidden/>
    <w:unhideWhenUsed/>
    <w:rsid w:val="00A1298F"/>
    <w:rPr>
      <w:b/>
      <w:bCs/>
      <w:lang w:val="es-CO"/>
    </w:rPr>
  </w:style>
  <w:style w:type="character" w:customStyle="1" w:styleId="AsuntodelcomentarioCar">
    <w:name w:val="Asunto del comentario Car"/>
    <w:basedOn w:val="TextocomentarioCar"/>
    <w:link w:val="Asuntodelcomentario"/>
    <w:uiPriority w:val="99"/>
    <w:semiHidden/>
    <w:rsid w:val="00A1298F"/>
    <w:rPr>
      <w:b/>
      <w:bCs/>
      <w:sz w:val="20"/>
      <w:szCs w:val="20"/>
      <w:lang w:val="es-ES_tradnl"/>
    </w:rPr>
  </w:style>
  <w:style w:type="paragraph" w:styleId="Prrafodelista">
    <w:name w:val="List Paragraph"/>
    <w:basedOn w:val="Normal"/>
    <w:uiPriority w:val="34"/>
    <w:qFormat/>
    <w:rsid w:val="00C000BE"/>
    <w:pPr>
      <w:ind w:left="720"/>
      <w:contextualSpacing/>
    </w:pPr>
    <w:rPr>
      <w:lang w:val="es-ES_tradnl"/>
    </w:rPr>
  </w:style>
  <w:style w:type="paragraph" w:styleId="Descripcin">
    <w:name w:val="caption"/>
    <w:basedOn w:val="Normal"/>
    <w:next w:val="Normal"/>
    <w:uiPriority w:val="35"/>
    <w:unhideWhenUsed/>
    <w:qFormat/>
    <w:rsid w:val="00946DFA"/>
    <w:pPr>
      <w:keepNext/>
      <w:spacing w:line="480" w:lineRule="auto"/>
      <w:jc w:val="both"/>
    </w:pPr>
    <w:rPr>
      <w:rFonts w:ascii="Times New Roman" w:hAnsi="Times New Roman" w:cs="Times New Roman"/>
      <w:b/>
      <w:iCs/>
      <w:lang w:val="es-ES"/>
    </w:rPr>
  </w:style>
  <w:style w:type="character" w:styleId="Hipervnculo">
    <w:name w:val="Hyperlink"/>
    <w:basedOn w:val="Fuentedeprrafopredeter"/>
    <w:uiPriority w:val="99"/>
    <w:unhideWhenUsed/>
    <w:rsid w:val="000E3BD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777773">
      <w:bodyDiv w:val="1"/>
      <w:marLeft w:val="0"/>
      <w:marRight w:val="0"/>
      <w:marTop w:val="0"/>
      <w:marBottom w:val="0"/>
      <w:divBdr>
        <w:top w:val="none" w:sz="0" w:space="0" w:color="auto"/>
        <w:left w:val="none" w:sz="0" w:space="0" w:color="auto"/>
        <w:bottom w:val="none" w:sz="0" w:space="0" w:color="auto"/>
        <w:right w:val="none" w:sz="0" w:space="0" w:color="auto"/>
      </w:divBdr>
    </w:div>
    <w:div w:id="450131933">
      <w:bodyDiv w:val="1"/>
      <w:marLeft w:val="0"/>
      <w:marRight w:val="0"/>
      <w:marTop w:val="0"/>
      <w:marBottom w:val="0"/>
      <w:divBdr>
        <w:top w:val="none" w:sz="0" w:space="0" w:color="auto"/>
        <w:left w:val="none" w:sz="0" w:space="0" w:color="auto"/>
        <w:bottom w:val="none" w:sz="0" w:space="0" w:color="auto"/>
        <w:right w:val="none" w:sz="0" w:space="0" w:color="auto"/>
      </w:divBdr>
    </w:div>
    <w:div w:id="18371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4/relationships/chartEx" Target="charts/chartEx1.xml"/><Relationship Id="rId13" Type="http://schemas.microsoft.com/office/2014/relationships/chartEx" Target="charts/chartEx3.xml"/><Relationship Id="rId18" Type="http://schemas.openxmlformats.org/officeDocument/2006/relationships/chart" Target="charts/chart3.xml"/><Relationship Id="rId26" Type="http://schemas.openxmlformats.org/officeDocument/2006/relationships/hyperlink" Target="https://www.onetcenter.org/dictionary/26.3/excel/tasks_to_dwas.html"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2.xml"/><Relationship Id="rId25" Type="http://schemas.openxmlformats.org/officeDocument/2006/relationships/hyperlink" Target="http://industrial.uis.edu.co/eisi/eisi.jsp?IdServicio=S697" TargetMode="External"/><Relationship Id="rId2" Type="http://schemas.openxmlformats.org/officeDocument/2006/relationships/numbering" Target="numbering.xml"/><Relationship Id="rId16" Type="http://schemas.openxmlformats.org/officeDocument/2006/relationships/image" Target="media/image4.png"/><Relationship Id="rId20" Type="http://schemas.microsoft.com/office/2014/relationships/chartEx" Target="charts/chartEx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5.xml"/><Relationship Id="rId5" Type="http://schemas.openxmlformats.org/officeDocument/2006/relationships/webSettings" Target="webSettings.xml"/><Relationship Id="rId15" Type="http://schemas.microsoft.com/office/2014/relationships/chartEx" Target="charts/chartEx4.xml"/><Relationship Id="rId23" Type="http://schemas.openxmlformats.org/officeDocument/2006/relationships/image" Target="media/image6.png"/><Relationship Id="rId28" Type="http://schemas.openxmlformats.org/officeDocument/2006/relationships/hyperlink" Target="https://observatorio.sena.edu.co/Tendencia/Informes" TargetMode="External"/><Relationship Id="rId10" Type="http://schemas.microsoft.com/office/2014/relationships/chartEx" Target="charts/chartEx2.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3.png"/><Relationship Id="rId22" Type="http://schemas.microsoft.com/office/2014/relationships/chartEx" Target="charts/chartEx6.xml"/><Relationship Id="rId27" Type="http://schemas.openxmlformats.org/officeDocument/2006/relationships/hyperlink" Target="https://observatorio.sena.edu.co/Clasificacion/Cno"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ropbox\UIS\trabajo%20de%20grado\libro\ENTREGAR\Bases%20procesadas%20no%20entregar\An&#225;lisis%20de%20Resultados.xlsx" TargetMode="External"/><Relationship Id="rId2" Type="http://schemas.microsoft.com/office/2011/relationships/chartColorStyle" Target="colors3.xml"/><Relationship Id="rId1" Type="http://schemas.microsoft.com/office/2011/relationships/chartStyle" Target="style3.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ropbox\UIS\trabajo%20de%20grado\libro\ENTREGAR\Bases%20procesadas%20no%20entregar\An&#225;lisis%20de%20Resultados.xlsx" TargetMode="External"/><Relationship Id="rId2" Type="http://schemas.microsoft.com/office/2011/relationships/chartColorStyle" Target="colors6.xml"/><Relationship Id="rId1" Type="http://schemas.microsoft.com/office/2011/relationships/chartStyle" Target="style6.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ropbox\UIS\trabajo%20de%20grado\libro\ENTREGAR\An&#225;lisis%20de%20Resultados.xlsx" TargetMode="External"/><Relationship Id="rId2" Type="http://schemas.microsoft.com/office/2011/relationships/chartColorStyle" Target="colors7.xml"/><Relationship Id="rId1" Type="http://schemas.microsoft.com/office/2011/relationships/chartStyle" Target="style7.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ropbox\UIS\trabajo%20de%20grado\libro\ENTREGAR\Bases%20procesadas%20no%20entregar\An&#225;lisis%20de%20Resultados.xlsx" TargetMode="External"/><Relationship Id="rId2" Type="http://schemas.microsoft.com/office/2011/relationships/chartColorStyle" Target="colors8.xml"/><Relationship Id="rId1" Type="http://schemas.microsoft.com/office/2011/relationships/chartStyle" Target="style8.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ropbox\UIS\trabajo%20de%20grado\libro\ENTREGAR\Bases%20procesadas%20no%20entregar\An&#225;lisis%20de%20Resultados.xlsx" TargetMode="External"/><Relationship Id="rId2" Type="http://schemas.microsoft.com/office/2011/relationships/chartColorStyle" Target="colors11.xml"/><Relationship Id="rId1" Type="http://schemas.microsoft.com/office/2011/relationships/chartStyle" Target="style11.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user\Dropbox\UIS\trabajo%20de%20grado\1\BASE%20DE%20DATOS%20CNO%202019%20(SENA).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user\Dropbox\UIS\trabajo%20de%20grado\1\Ingles\Tasks%20to%20DWAs.xlsx" TargetMode="External"/></Relationships>
</file>

<file path=word/charts/_rels/chartEx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user\Dropbox\UIS\trabajo%20de%20grado\libro\ENTREGAR\Bases%20procesadas\BASE%20DE%20DATOS%20CNO%202019%20(SENA)%20Procesada.xlsx" TargetMode="External"/></Relationships>
</file>

<file path=word/charts/_rels/chartEx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user\Dropbox\UIS\trabajo%20de%20grado\libro\ENTREGAR\Bases%20procesadas\Tasks%20to%20DWAs%20Procesada.xlsx" TargetMode="External"/></Relationships>
</file>

<file path=word/charts/_rels/chartEx5.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oleObject" Target="file:///C:\Users\user\Dropbox\UIS\trabajo%20de%20grado\libro\ENTREGAR\Bases%20procesadas%20no%20entregar\An&#225;lisis%20de%20Resultados.xlsx" TargetMode="External"/></Relationships>
</file>

<file path=word/charts/_rels/chartEx6.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oleObject" Target="file:///C:\Users\user\Dropbox\UIS\trabajo%20de%20grado\libro\ENTREGAR\An&#225;lisis%20de%20Resultad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USA</c:v>
          </c:tx>
          <c:spPr>
            <a:solidFill>
              <a:schemeClr val="accent1"/>
            </a:solidFill>
            <a:ln>
              <a:noFill/>
            </a:ln>
            <a:effectLst/>
          </c:spPr>
          <c:invertIfNegative val="0"/>
          <c:cat>
            <c:strRef>
              <c:f>'Col Vs. USA Funciones'!$B$2:$B$23</c:f>
              <c:strCache>
                <c:ptCount val="22"/>
                <c:pt idx="0">
                  <c:v>Ingeniería y gestión de operaciones</c:v>
                </c:pt>
                <c:pt idx="1">
                  <c:v>Gestión de recursos humanos</c:v>
                </c:pt>
                <c:pt idx="2">
                  <c:v>Gestión estratégica</c:v>
                </c:pt>
                <c:pt idx="3">
                  <c:v>Análisis económico de ingeniería</c:v>
                </c:pt>
                <c:pt idx="4">
                  <c:v>Ingeniería de calidad y confiabilidad</c:v>
                </c:pt>
                <c:pt idx="5">
                  <c:v>Enfoque al cliente</c:v>
                </c:pt>
                <c:pt idx="6">
                  <c:v>Gestión de la cadena de suministro</c:v>
                </c:pt>
                <c:pt idx="7">
                  <c:v>Liderazgo, trabajo en equipo y organización</c:v>
                </c:pt>
                <c:pt idx="8">
                  <c:v>Seguridad</c:v>
                </c:pt>
                <c:pt idx="9">
                  <c:v>Gestión del desempeño a nivel organizacional</c:v>
                </c:pt>
                <c:pt idx="10">
                  <c:v>Procesos comerciales</c:v>
                </c:pt>
                <c:pt idx="11">
                  <c:v>Gestión de proyectos</c:v>
                </c:pt>
                <c:pt idx="12">
                  <c:v>Ingeniería de instalaciones y gestión energética</c:v>
                </c:pt>
                <c:pt idx="13">
                  <c:v>Ingeniería de la información</c:v>
                </c:pt>
                <c:pt idx="14">
                  <c:v>Diseño y desarrollo de productos</c:v>
                </c:pt>
                <c:pt idx="15">
                  <c:v>Diseño y medición del trabajo</c:v>
                </c:pt>
                <c:pt idx="16">
                  <c:v>Recursos y responsabilidad</c:v>
                </c:pt>
                <c:pt idx="17">
                  <c:v>Investigación y análisis de operaciones</c:v>
                </c:pt>
                <c:pt idx="18">
                  <c:v>Ergonomía y factores humanos</c:v>
                </c:pt>
                <c:pt idx="19">
                  <c:v>Ingeniería de diseño y fabricación</c:v>
                </c:pt>
                <c:pt idx="20">
                  <c:v>Sistemas de conocimiento compartido</c:v>
                </c:pt>
                <c:pt idx="21">
                  <c:v>Diseño e ingeniería de sistemas</c:v>
                </c:pt>
              </c:strCache>
            </c:strRef>
          </c:cat>
          <c:val>
            <c:numRef>
              <c:f>'Col Vs. USA Funciones'!$C$2:$C$23</c:f>
              <c:numCache>
                <c:formatCode>0.00%</c:formatCode>
                <c:ptCount val="22"/>
                <c:pt idx="0">
                  <c:v>0.11368573497465605</c:v>
                </c:pt>
                <c:pt idx="1">
                  <c:v>0.12092686459087618</c:v>
                </c:pt>
                <c:pt idx="2">
                  <c:v>2.5343953656770456E-2</c:v>
                </c:pt>
                <c:pt idx="3">
                  <c:v>0.20492396813902969</c:v>
                </c:pt>
                <c:pt idx="4">
                  <c:v>3.6929761042722664E-2</c:v>
                </c:pt>
                <c:pt idx="5">
                  <c:v>8.8341781317885587E-2</c:v>
                </c:pt>
                <c:pt idx="6">
                  <c:v>9.4134685010861696E-2</c:v>
                </c:pt>
                <c:pt idx="7">
                  <c:v>8.9790007241129621E-2</c:v>
                </c:pt>
                <c:pt idx="8">
                  <c:v>4.7791455467052858E-2</c:v>
                </c:pt>
                <c:pt idx="9">
                  <c:v>1.8102824040550327E-2</c:v>
                </c:pt>
                <c:pt idx="10">
                  <c:v>7.3135409123823311E-2</c:v>
                </c:pt>
                <c:pt idx="11">
                  <c:v>1.8102824040550327E-2</c:v>
                </c:pt>
                <c:pt idx="12">
                  <c:v>1.0861694424330196E-2</c:v>
                </c:pt>
                <c:pt idx="13">
                  <c:v>2.9688631426502535E-2</c:v>
                </c:pt>
                <c:pt idx="14">
                  <c:v>2.8964518464880519E-3</c:v>
                </c:pt>
                <c:pt idx="15">
                  <c:v>3.6205648081100651E-3</c:v>
                </c:pt>
                <c:pt idx="16">
                  <c:v>2.1723388848660392E-3</c:v>
                </c:pt>
                <c:pt idx="17">
                  <c:v>7.2411296162201303E-3</c:v>
                </c:pt>
                <c:pt idx="18">
                  <c:v>1.0137581462708182E-2</c:v>
                </c:pt>
                <c:pt idx="19">
                  <c:v>1.448225923244026E-3</c:v>
                </c:pt>
                <c:pt idx="20">
                  <c:v>0</c:v>
                </c:pt>
                <c:pt idx="21">
                  <c:v>7.2411296162201298E-4</c:v>
                </c:pt>
              </c:numCache>
            </c:numRef>
          </c:val>
          <c:extLst>
            <c:ext xmlns:c16="http://schemas.microsoft.com/office/drawing/2014/chart" uri="{C3380CC4-5D6E-409C-BE32-E72D297353CC}">
              <c16:uniqueId val="{00000000-3FB6-4E90-BCB3-507DB3D81E26}"/>
            </c:ext>
          </c:extLst>
        </c:ser>
        <c:ser>
          <c:idx val="1"/>
          <c:order val="1"/>
          <c:tx>
            <c:v>Colombia</c:v>
          </c:tx>
          <c:spPr>
            <a:solidFill>
              <a:schemeClr val="accent3"/>
            </a:solidFill>
            <a:ln>
              <a:noFill/>
            </a:ln>
            <a:effectLst/>
          </c:spPr>
          <c:invertIfNegative val="0"/>
          <c:cat>
            <c:strRef>
              <c:f>'Col Vs. USA Funciones'!$B$2:$B$23</c:f>
              <c:strCache>
                <c:ptCount val="22"/>
                <c:pt idx="0">
                  <c:v>Ingeniería y gestión de operaciones</c:v>
                </c:pt>
                <c:pt idx="1">
                  <c:v>Gestión de recursos humanos</c:v>
                </c:pt>
                <c:pt idx="2">
                  <c:v>Gestión estratégica</c:v>
                </c:pt>
                <c:pt idx="3">
                  <c:v>Análisis económico de ingeniería</c:v>
                </c:pt>
                <c:pt idx="4">
                  <c:v>Ingeniería de calidad y confiabilidad</c:v>
                </c:pt>
                <c:pt idx="5">
                  <c:v>Enfoque al cliente</c:v>
                </c:pt>
                <c:pt idx="6">
                  <c:v>Gestión de la cadena de suministro</c:v>
                </c:pt>
                <c:pt idx="7">
                  <c:v>Liderazgo, trabajo en equipo y organización</c:v>
                </c:pt>
                <c:pt idx="8">
                  <c:v>Seguridad</c:v>
                </c:pt>
                <c:pt idx="9">
                  <c:v>Gestión del desempeño a nivel organizacional</c:v>
                </c:pt>
                <c:pt idx="10">
                  <c:v>Procesos comerciales</c:v>
                </c:pt>
                <c:pt idx="11">
                  <c:v>Gestión de proyectos</c:v>
                </c:pt>
                <c:pt idx="12">
                  <c:v>Ingeniería de instalaciones y gestión energética</c:v>
                </c:pt>
                <c:pt idx="13">
                  <c:v>Ingeniería de la información</c:v>
                </c:pt>
                <c:pt idx="14">
                  <c:v>Diseño y desarrollo de productos</c:v>
                </c:pt>
                <c:pt idx="15">
                  <c:v>Diseño y medición del trabajo</c:v>
                </c:pt>
                <c:pt idx="16">
                  <c:v>Recursos y responsabilidad</c:v>
                </c:pt>
                <c:pt idx="17">
                  <c:v>Investigación y análisis de operaciones</c:v>
                </c:pt>
                <c:pt idx="18">
                  <c:v>Ergonomía y factores humanos</c:v>
                </c:pt>
                <c:pt idx="19">
                  <c:v>Ingeniería de diseño y fabricación</c:v>
                </c:pt>
                <c:pt idx="20">
                  <c:v>Sistemas de conocimiento compartido</c:v>
                </c:pt>
                <c:pt idx="21">
                  <c:v>Diseño e ingeniería de sistemas</c:v>
                </c:pt>
              </c:strCache>
            </c:strRef>
          </c:cat>
          <c:val>
            <c:numRef>
              <c:f>'Col Vs. USA Funciones'!$D$2:$D$23</c:f>
              <c:numCache>
                <c:formatCode>0.00%</c:formatCode>
                <c:ptCount val="22"/>
                <c:pt idx="0">
                  <c:v>0.26248548199767713</c:v>
                </c:pt>
                <c:pt idx="1">
                  <c:v>0.15214866434378629</c:v>
                </c:pt>
                <c:pt idx="2">
                  <c:v>0.10452961672473868</c:v>
                </c:pt>
                <c:pt idx="3">
                  <c:v>9.8722415795586521E-2</c:v>
                </c:pt>
                <c:pt idx="4">
                  <c:v>8.5946573751451802E-2</c:v>
                </c:pt>
                <c:pt idx="5">
                  <c:v>5.3426248548199766E-2</c:v>
                </c:pt>
                <c:pt idx="6">
                  <c:v>4.5296167247386762E-2</c:v>
                </c:pt>
                <c:pt idx="7">
                  <c:v>4.4134727061556328E-2</c:v>
                </c:pt>
                <c:pt idx="8">
                  <c:v>4.065040650406504E-2</c:v>
                </c:pt>
                <c:pt idx="9">
                  <c:v>3.3681765389082463E-2</c:v>
                </c:pt>
                <c:pt idx="10">
                  <c:v>2.4390243902439025E-2</c:v>
                </c:pt>
                <c:pt idx="11">
                  <c:v>1.1614401858304297E-2</c:v>
                </c:pt>
                <c:pt idx="12">
                  <c:v>1.0452961672473868E-2</c:v>
                </c:pt>
                <c:pt idx="13">
                  <c:v>8.130081300813009E-3</c:v>
                </c:pt>
                <c:pt idx="14">
                  <c:v>6.9686411149825784E-3</c:v>
                </c:pt>
                <c:pt idx="15">
                  <c:v>5.8072009291521487E-3</c:v>
                </c:pt>
                <c:pt idx="16">
                  <c:v>5.8072009291521487E-3</c:v>
                </c:pt>
                <c:pt idx="17">
                  <c:v>3.4843205574912892E-3</c:v>
                </c:pt>
                <c:pt idx="18">
                  <c:v>1.1614401858304297E-3</c:v>
                </c:pt>
                <c:pt idx="19">
                  <c:v>1.1614401858304297E-3</c:v>
                </c:pt>
                <c:pt idx="20">
                  <c:v>0</c:v>
                </c:pt>
                <c:pt idx="21">
                  <c:v>0</c:v>
                </c:pt>
              </c:numCache>
            </c:numRef>
          </c:val>
          <c:extLst>
            <c:ext xmlns:c16="http://schemas.microsoft.com/office/drawing/2014/chart" uri="{C3380CC4-5D6E-409C-BE32-E72D297353CC}">
              <c16:uniqueId val="{00000001-3FB6-4E90-BCB3-507DB3D81E26}"/>
            </c:ext>
          </c:extLst>
        </c:ser>
        <c:dLbls>
          <c:showLegendKey val="0"/>
          <c:showVal val="0"/>
          <c:showCatName val="0"/>
          <c:showSerName val="0"/>
          <c:showPercent val="0"/>
          <c:showBubbleSize val="0"/>
        </c:dLbls>
        <c:gapWidth val="219"/>
        <c:overlap val="-27"/>
        <c:axId val="1842208"/>
        <c:axId val="1842624"/>
      </c:barChart>
      <c:catAx>
        <c:axId val="1842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42624"/>
        <c:crosses val="autoZero"/>
        <c:auto val="1"/>
        <c:lblAlgn val="ctr"/>
        <c:lblOffset val="100"/>
        <c:noMultiLvlLbl val="0"/>
      </c:catAx>
      <c:valAx>
        <c:axId val="18426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42208"/>
        <c:crosses val="autoZero"/>
        <c:crossBetween val="between"/>
      </c:valAx>
      <c:spPr>
        <a:noFill/>
        <a:ln>
          <a:noFill/>
        </a:ln>
        <a:effectLst/>
      </c:spPr>
    </c:plotArea>
    <c:legend>
      <c:legendPos val="b"/>
      <c:layout>
        <c:manualLayout>
          <c:xMode val="edge"/>
          <c:yMode val="edge"/>
          <c:x val="0.15502209098862646"/>
          <c:y val="0.92633887860197861"/>
          <c:w val="0.70940004374453192"/>
          <c:h val="4.5883323489303837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595903004863989E-2"/>
          <c:y val="3.374750728639362E-2"/>
          <c:w val="0.90174054961426042"/>
          <c:h val="0.45223544019721879"/>
        </c:manualLayout>
      </c:layout>
      <c:barChart>
        <c:barDir val="col"/>
        <c:grouping val="clustered"/>
        <c:varyColors val="0"/>
        <c:ser>
          <c:idx val="0"/>
          <c:order val="0"/>
          <c:tx>
            <c:v>USA</c:v>
          </c:tx>
          <c:spPr>
            <a:solidFill>
              <a:schemeClr val="accent1"/>
            </a:solidFill>
            <a:ln>
              <a:noFill/>
            </a:ln>
            <a:effectLst/>
          </c:spPr>
          <c:invertIfNegative val="0"/>
          <c:cat>
            <c:strRef>
              <c:f>'Col Vs. USA Ocupaciones'!$B$2:$B$23</c:f>
              <c:strCache>
                <c:ptCount val="22"/>
                <c:pt idx="0">
                  <c:v>Ingeniería y gestión de operaciones</c:v>
                </c:pt>
                <c:pt idx="1">
                  <c:v>Gestión de recursos humanos</c:v>
                </c:pt>
                <c:pt idx="2">
                  <c:v>Gestión estratégica</c:v>
                </c:pt>
                <c:pt idx="3">
                  <c:v>Análisis económico de ingeniería</c:v>
                </c:pt>
                <c:pt idx="4">
                  <c:v>Ingeniería de calidad y confiabilidad</c:v>
                </c:pt>
                <c:pt idx="5">
                  <c:v>Enfoque al cliente</c:v>
                </c:pt>
                <c:pt idx="6">
                  <c:v>Gestión de la cadena de suministro</c:v>
                </c:pt>
                <c:pt idx="7">
                  <c:v>Liderazgo, trabajo en equipo y organización</c:v>
                </c:pt>
                <c:pt idx="8">
                  <c:v>Seguridad</c:v>
                </c:pt>
                <c:pt idx="9">
                  <c:v>Gestión del desempeño a nivel organizacional</c:v>
                </c:pt>
                <c:pt idx="10">
                  <c:v>Procesos comerciales</c:v>
                </c:pt>
                <c:pt idx="11">
                  <c:v>Gestión de proyectos</c:v>
                </c:pt>
                <c:pt idx="12">
                  <c:v>Ingeniería de instalaciones y gestión energética</c:v>
                </c:pt>
                <c:pt idx="13">
                  <c:v>Ingeniería de la información</c:v>
                </c:pt>
                <c:pt idx="14">
                  <c:v>Diseño y desarrollo de productos</c:v>
                </c:pt>
                <c:pt idx="15">
                  <c:v>Diseño y medición del trabajo</c:v>
                </c:pt>
                <c:pt idx="16">
                  <c:v>Recursos y responsabilidad</c:v>
                </c:pt>
                <c:pt idx="17">
                  <c:v>Investigación y análisis de operaciones</c:v>
                </c:pt>
                <c:pt idx="18">
                  <c:v>Ergonomía y factores humanos</c:v>
                </c:pt>
                <c:pt idx="19">
                  <c:v>Ingeniería de diseño y fabricación</c:v>
                </c:pt>
                <c:pt idx="20">
                  <c:v>Sistemas de conocimiento compartido</c:v>
                </c:pt>
                <c:pt idx="21">
                  <c:v>Diseño e ingeniería de sistemas</c:v>
                </c:pt>
              </c:strCache>
            </c:strRef>
          </c:cat>
          <c:val>
            <c:numRef>
              <c:f>'Col Vs. USA Ocupaciones'!$C$2:$C$23</c:f>
              <c:numCache>
                <c:formatCode>0%</c:formatCode>
                <c:ptCount val="22"/>
                <c:pt idx="0">
                  <c:v>0.15277777777777779</c:v>
                </c:pt>
                <c:pt idx="1">
                  <c:v>0.1111111111111111</c:v>
                </c:pt>
                <c:pt idx="2">
                  <c:v>0</c:v>
                </c:pt>
                <c:pt idx="3">
                  <c:v>0.25</c:v>
                </c:pt>
                <c:pt idx="4">
                  <c:v>4.1666666666666664E-2</c:v>
                </c:pt>
                <c:pt idx="5">
                  <c:v>0.125</c:v>
                </c:pt>
                <c:pt idx="6">
                  <c:v>0.125</c:v>
                </c:pt>
                <c:pt idx="7">
                  <c:v>2.7777777777777776E-2</c:v>
                </c:pt>
                <c:pt idx="8">
                  <c:v>6.9444444444444448E-2</c:v>
                </c:pt>
                <c:pt idx="9">
                  <c:v>1.3888888888888888E-2</c:v>
                </c:pt>
                <c:pt idx="10">
                  <c:v>2.7777777777777776E-2</c:v>
                </c:pt>
                <c:pt idx="11">
                  <c:v>2.7777777777777776E-2</c:v>
                </c:pt>
                <c:pt idx="12">
                  <c:v>0</c:v>
                </c:pt>
                <c:pt idx="13">
                  <c:v>0</c:v>
                </c:pt>
                <c:pt idx="14">
                  <c:v>0</c:v>
                </c:pt>
                <c:pt idx="15">
                  <c:v>0</c:v>
                </c:pt>
                <c:pt idx="16">
                  <c:v>0</c:v>
                </c:pt>
                <c:pt idx="17">
                  <c:v>1.3888888888888888E-2</c:v>
                </c:pt>
                <c:pt idx="18">
                  <c:v>1.3888888888888888E-2</c:v>
                </c:pt>
                <c:pt idx="19">
                  <c:v>0</c:v>
                </c:pt>
                <c:pt idx="20">
                  <c:v>0</c:v>
                </c:pt>
                <c:pt idx="21">
                  <c:v>0</c:v>
                </c:pt>
              </c:numCache>
            </c:numRef>
          </c:val>
          <c:extLst>
            <c:ext xmlns:c16="http://schemas.microsoft.com/office/drawing/2014/chart" uri="{C3380CC4-5D6E-409C-BE32-E72D297353CC}">
              <c16:uniqueId val="{00000000-BAAA-4CF5-90A8-D13D53AEB0A5}"/>
            </c:ext>
          </c:extLst>
        </c:ser>
        <c:ser>
          <c:idx val="1"/>
          <c:order val="1"/>
          <c:tx>
            <c:v>Colombia</c:v>
          </c:tx>
          <c:spPr>
            <a:solidFill>
              <a:schemeClr val="accent3"/>
            </a:solidFill>
            <a:ln>
              <a:noFill/>
            </a:ln>
            <a:effectLst/>
          </c:spPr>
          <c:invertIfNegative val="0"/>
          <c:cat>
            <c:strRef>
              <c:f>'Col Vs. USA Ocupaciones'!$B$2:$B$23</c:f>
              <c:strCache>
                <c:ptCount val="22"/>
                <c:pt idx="0">
                  <c:v>Ingeniería y gestión de operaciones</c:v>
                </c:pt>
                <c:pt idx="1">
                  <c:v>Gestión de recursos humanos</c:v>
                </c:pt>
                <c:pt idx="2">
                  <c:v>Gestión estratégica</c:v>
                </c:pt>
                <c:pt idx="3">
                  <c:v>Análisis económico de ingeniería</c:v>
                </c:pt>
                <c:pt idx="4">
                  <c:v>Ingeniería de calidad y confiabilidad</c:v>
                </c:pt>
                <c:pt idx="5">
                  <c:v>Enfoque al cliente</c:v>
                </c:pt>
                <c:pt idx="6">
                  <c:v>Gestión de la cadena de suministro</c:v>
                </c:pt>
                <c:pt idx="7">
                  <c:v>Liderazgo, trabajo en equipo y organización</c:v>
                </c:pt>
                <c:pt idx="8">
                  <c:v>Seguridad</c:v>
                </c:pt>
                <c:pt idx="9">
                  <c:v>Gestión del desempeño a nivel organizacional</c:v>
                </c:pt>
                <c:pt idx="10">
                  <c:v>Procesos comerciales</c:v>
                </c:pt>
                <c:pt idx="11">
                  <c:v>Gestión de proyectos</c:v>
                </c:pt>
                <c:pt idx="12">
                  <c:v>Ingeniería de instalaciones y gestión energética</c:v>
                </c:pt>
                <c:pt idx="13">
                  <c:v>Ingeniería de la información</c:v>
                </c:pt>
                <c:pt idx="14">
                  <c:v>Diseño y desarrollo de productos</c:v>
                </c:pt>
                <c:pt idx="15">
                  <c:v>Diseño y medición del trabajo</c:v>
                </c:pt>
                <c:pt idx="16">
                  <c:v>Recursos y responsabilidad</c:v>
                </c:pt>
                <c:pt idx="17">
                  <c:v>Investigación y análisis de operaciones</c:v>
                </c:pt>
                <c:pt idx="18">
                  <c:v>Ergonomía y factores humanos</c:v>
                </c:pt>
                <c:pt idx="19">
                  <c:v>Ingeniería de diseño y fabricación</c:v>
                </c:pt>
                <c:pt idx="20">
                  <c:v>Sistemas de conocimiento compartido</c:v>
                </c:pt>
                <c:pt idx="21">
                  <c:v>Diseño e ingeniería de sistemas</c:v>
                </c:pt>
              </c:strCache>
            </c:strRef>
          </c:cat>
          <c:val>
            <c:numRef>
              <c:f>'Col Vs. USA Ocupaciones'!$D$2:$D$23</c:f>
              <c:numCache>
                <c:formatCode>0%</c:formatCode>
                <c:ptCount val="22"/>
                <c:pt idx="0">
                  <c:v>0.26248548199767713</c:v>
                </c:pt>
                <c:pt idx="1">
                  <c:v>0.15214866434378629</c:v>
                </c:pt>
                <c:pt idx="2">
                  <c:v>0.10452961672473868</c:v>
                </c:pt>
                <c:pt idx="3">
                  <c:v>9.8722415795586521E-2</c:v>
                </c:pt>
                <c:pt idx="4">
                  <c:v>8.5946573751451802E-2</c:v>
                </c:pt>
                <c:pt idx="5">
                  <c:v>5.3426248548199766E-2</c:v>
                </c:pt>
                <c:pt idx="6">
                  <c:v>4.5296167247386762E-2</c:v>
                </c:pt>
                <c:pt idx="7">
                  <c:v>4.4134727061556328E-2</c:v>
                </c:pt>
                <c:pt idx="8">
                  <c:v>4.065040650406504E-2</c:v>
                </c:pt>
                <c:pt idx="9">
                  <c:v>3.3681765389082463E-2</c:v>
                </c:pt>
                <c:pt idx="10">
                  <c:v>2.4390243902439025E-2</c:v>
                </c:pt>
                <c:pt idx="11">
                  <c:v>1.1614401858304297E-2</c:v>
                </c:pt>
                <c:pt idx="12">
                  <c:v>1.0452961672473868E-2</c:v>
                </c:pt>
                <c:pt idx="13">
                  <c:v>8.130081300813009E-3</c:v>
                </c:pt>
                <c:pt idx="14">
                  <c:v>6.9686411149825784E-3</c:v>
                </c:pt>
                <c:pt idx="15">
                  <c:v>5.8072009291521487E-3</c:v>
                </c:pt>
                <c:pt idx="16">
                  <c:v>5.8072009291521487E-3</c:v>
                </c:pt>
                <c:pt idx="17">
                  <c:v>3.4843205574912892E-3</c:v>
                </c:pt>
                <c:pt idx="18">
                  <c:v>1.1614401858304297E-3</c:v>
                </c:pt>
                <c:pt idx="19">
                  <c:v>1.1614401858304297E-3</c:v>
                </c:pt>
                <c:pt idx="20">
                  <c:v>0</c:v>
                </c:pt>
                <c:pt idx="21">
                  <c:v>0</c:v>
                </c:pt>
              </c:numCache>
            </c:numRef>
          </c:val>
          <c:extLst>
            <c:ext xmlns:c16="http://schemas.microsoft.com/office/drawing/2014/chart" uri="{C3380CC4-5D6E-409C-BE32-E72D297353CC}">
              <c16:uniqueId val="{00000001-BAAA-4CF5-90A8-D13D53AEB0A5}"/>
            </c:ext>
          </c:extLst>
        </c:ser>
        <c:dLbls>
          <c:showLegendKey val="0"/>
          <c:showVal val="0"/>
          <c:showCatName val="0"/>
          <c:showSerName val="0"/>
          <c:showPercent val="0"/>
          <c:showBubbleSize val="0"/>
        </c:dLbls>
        <c:gapWidth val="219"/>
        <c:overlap val="-27"/>
        <c:axId val="1842208"/>
        <c:axId val="1842624"/>
      </c:barChart>
      <c:catAx>
        <c:axId val="1842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42624"/>
        <c:crosses val="autoZero"/>
        <c:auto val="1"/>
        <c:lblAlgn val="ctr"/>
        <c:lblOffset val="100"/>
        <c:noMultiLvlLbl val="0"/>
      </c:catAx>
      <c:valAx>
        <c:axId val="18426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42208"/>
        <c:crosses val="autoZero"/>
        <c:crossBetween val="between"/>
      </c:valAx>
      <c:spPr>
        <a:noFill/>
        <a:ln>
          <a:noFill/>
        </a:ln>
        <a:effectLst/>
      </c:spPr>
    </c:plotArea>
    <c:legend>
      <c:legendPos val="b"/>
      <c:layout>
        <c:manualLayout>
          <c:xMode val="edge"/>
          <c:yMode val="edge"/>
          <c:x val="6.897288855350002E-2"/>
          <c:y val="0.9402985986779876"/>
          <c:w val="0.79329815138064175"/>
          <c:h val="4.7263262139859964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1396814947970733E-2"/>
          <c:y val="2.9629629629629631E-2"/>
          <c:w val="0.90502333510561983"/>
          <c:h val="0.50083469869296637"/>
        </c:manualLayout>
      </c:layout>
      <c:barChart>
        <c:barDir val="col"/>
        <c:grouping val="clustered"/>
        <c:varyColors val="0"/>
        <c:ser>
          <c:idx val="0"/>
          <c:order val="0"/>
          <c:tx>
            <c:strRef>
              <c:f>'Vacantes por área de conocimien'!$C$2</c:f>
              <c:strCache>
                <c:ptCount val="1"/>
                <c:pt idx="0">
                  <c:v>2012</c:v>
                </c:pt>
              </c:strCache>
            </c:strRef>
          </c:tx>
          <c:spPr>
            <a:solidFill>
              <a:schemeClr val="accent1"/>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conocimien'!$C$3:$C$24</c:f>
              <c:numCache>
                <c:formatCode>General</c:formatCode>
                <c:ptCount val="22"/>
                <c:pt idx="0">
                  <c:v>0</c:v>
                </c:pt>
                <c:pt idx="1">
                  <c:v>0</c:v>
                </c:pt>
                <c:pt idx="2">
                  <c:v>2656</c:v>
                </c:pt>
                <c:pt idx="3">
                  <c:v>508</c:v>
                </c:pt>
                <c:pt idx="4">
                  <c:v>425</c:v>
                </c:pt>
                <c:pt idx="5">
                  <c:v>0</c:v>
                </c:pt>
                <c:pt idx="6">
                  <c:v>3626</c:v>
                </c:pt>
                <c:pt idx="7">
                  <c:v>72</c:v>
                </c:pt>
                <c:pt idx="8">
                  <c:v>26634</c:v>
                </c:pt>
                <c:pt idx="9">
                  <c:v>148</c:v>
                </c:pt>
                <c:pt idx="10">
                  <c:v>0</c:v>
                </c:pt>
                <c:pt idx="11">
                  <c:v>1230</c:v>
                </c:pt>
                <c:pt idx="12">
                  <c:v>0</c:v>
                </c:pt>
                <c:pt idx="13">
                  <c:v>4343</c:v>
                </c:pt>
                <c:pt idx="14">
                  <c:v>1843</c:v>
                </c:pt>
                <c:pt idx="15">
                  <c:v>0</c:v>
                </c:pt>
                <c:pt idx="16">
                  <c:v>0</c:v>
                </c:pt>
                <c:pt idx="17">
                  <c:v>1169</c:v>
                </c:pt>
                <c:pt idx="18">
                  <c:v>4540</c:v>
                </c:pt>
                <c:pt idx="19">
                  <c:v>0</c:v>
                </c:pt>
                <c:pt idx="20">
                  <c:v>95</c:v>
                </c:pt>
                <c:pt idx="21">
                  <c:v>0</c:v>
                </c:pt>
              </c:numCache>
            </c:numRef>
          </c:val>
          <c:extLst>
            <c:ext xmlns:c16="http://schemas.microsoft.com/office/drawing/2014/chart" uri="{C3380CC4-5D6E-409C-BE32-E72D297353CC}">
              <c16:uniqueId val="{00000000-8BA5-4C93-988B-FF228CB516BB}"/>
            </c:ext>
          </c:extLst>
        </c:ser>
        <c:ser>
          <c:idx val="1"/>
          <c:order val="1"/>
          <c:tx>
            <c:strRef>
              <c:f>'Vacantes por área de conocimien'!$D$2</c:f>
              <c:strCache>
                <c:ptCount val="1"/>
                <c:pt idx="0">
                  <c:v>2013</c:v>
                </c:pt>
              </c:strCache>
            </c:strRef>
          </c:tx>
          <c:spPr>
            <a:solidFill>
              <a:schemeClr val="accent3"/>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conocimien'!$D$3:$D$24</c:f>
              <c:numCache>
                <c:formatCode>General</c:formatCode>
                <c:ptCount val="22"/>
                <c:pt idx="0">
                  <c:v>0</c:v>
                </c:pt>
                <c:pt idx="1">
                  <c:v>0</c:v>
                </c:pt>
                <c:pt idx="2">
                  <c:v>2701</c:v>
                </c:pt>
                <c:pt idx="3">
                  <c:v>450</c:v>
                </c:pt>
                <c:pt idx="4">
                  <c:v>465</c:v>
                </c:pt>
                <c:pt idx="5">
                  <c:v>0</c:v>
                </c:pt>
                <c:pt idx="6">
                  <c:v>3624</c:v>
                </c:pt>
                <c:pt idx="7">
                  <c:v>73</c:v>
                </c:pt>
                <c:pt idx="8">
                  <c:v>21689</c:v>
                </c:pt>
                <c:pt idx="9">
                  <c:v>179</c:v>
                </c:pt>
                <c:pt idx="10">
                  <c:v>0</c:v>
                </c:pt>
                <c:pt idx="11">
                  <c:v>1778</c:v>
                </c:pt>
                <c:pt idx="12">
                  <c:v>0</c:v>
                </c:pt>
                <c:pt idx="13">
                  <c:v>3767</c:v>
                </c:pt>
                <c:pt idx="14">
                  <c:v>1927</c:v>
                </c:pt>
                <c:pt idx="15">
                  <c:v>0</c:v>
                </c:pt>
                <c:pt idx="16">
                  <c:v>0</c:v>
                </c:pt>
                <c:pt idx="17">
                  <c:v>1321</c:v>
                </c:pt>
                <c:pt idx="18">
                  <c:v>6785</c:v>
                </c:pt>
                <c:pt idx="19">
                  <c:v>0</c:v>
                </c:pt>
                <c:pt idx="20">
                  <c:v>92</c:v>
                </c:pt>
                <c:pt idx="21">
                  <c:v>0</c:v>
                </c:pt>
              </c:numCache>
            </c:numRef>
          </c:val>
          <c:extLst>
            <c:ext xmlns:c16="http://schemas.microsoft.com/office/drawing/2014/chart" uri="{C3380CC4-5D6E-409C-BE32-E72D297353CC}">
              <c16:uniqueId val="{00000001-8BA5-4C93-988B-FF228CB516BB}"/>
            </c:ext>
          </c:extLst>
        </c:ser>
        <c:ser>
          <c:idx val="2"/>
          <c:order val="2"/>
          <c:tx>
            <c:strRef>
              <c:f>'Vacantes por área de conocimien'!$E$2</c:f>
              <c:strCache>
                <c:ptCount val="1"/>
                <c:pt idx="0">
                  <c:v>2014</c:v>
                </c:pt>
              </c:strCache>
            </c:strRef>
          </c:tx>
          <c:spPr>
            <a:solidFill>
              <a:schemeClr val="accent5"/>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conocimien'!$E$3:$E$24</c:f>
              <c:numCache>
                <c:formatCode>General</c:formatCode>
                <c:ptCount val="22"/>
                <c:pt idx="0">
                  <c:v>0</c:v>
                </c:pt>
                <c:pt idx="1">
                  <c:v>0</c:v>
                </c:pt>
                <c:pt idx="2">
                  <c:v>2411</c:v>
                </c:pt>
                <c:pt idx="3">
                  <c:v>546</c:v>
                </c:pt>
                <c:pt idx="4">
                  <c:v>616</c:v>
                </c:pt>
                <c:pt idx="5">
                  <c:v>0</c:v>
                </c:pt>
                <c:pt idx="6">
                  <c:v>4733</c:v>
                </c:pt>
                <c:pt idx="7">
                  <c:v>96</c:v>
                </c:pt>
                <c:pt idx="8">
                  <c:v>29738</c:v>
                </c:pt>
                <c:pt idx="9">
                  <c:v>198</c:v>
                </c:pt>
                <c:pt idx="10">
                  <c:v>0</c:v>
                </c:pt>
                <c:pt idx="11">
                  <c:v>1355</c:v>
                </c:pt>
                <c:pt idx="12">
                  <c:v>0</c:v>
                </c:pt>
                <c:pt idx="13">
                  <c:v>5150</c:v>
                </c:pt>
                <c:pt idx="14">
                  <c:v>2259</c:v>
                </c:pt>
                <c:pt idx="15">
                  <c:v>0</c:v>
                </c:pt>
                <c:pt idx="16">
                  <c:v>0</c:v>
                </c:pt>
                <c:pt idx="17">
                  <c:v>1982</c:v>
                </c:pt>
                <c:pt idx="18">
                  <c:v>4353</c:v>
                </c:pt>
                <c:pt idx="19">
                  <c:v>0</c:v>
                </c:pt>
                <c:pt idx="20">
                  <c:v>152</c:v>
                </c:pt>
                <c:pt idx="21">
                  <c:v>0</c:v>
                </c:pt>
              </c:numCache>
            </c:numRef>
          </c:val>
          <c:extLst>
            <c:ext xmlns:c16="http://schemas.microsoft.com/office/drawing/2014/chart" uri="{C3380CC4-5D6E-409C-BE32-E72D297353CC}">
              <c16:uniqueId val="{00000002-8BA5-4C93-988B-FF228CB516BB}"/>
            </c:ext>
          </c:extLst>
        </c:ser>
        <c:ser>
          <c:idx val="3"/>
          <c:order val="3"/>
          <c:tx>
            <c:strRef>
              <c:f>'Vacantes por área de conocimien'!$F$2</c:f>
              <c:strCache>
                <c:ptCount val="1"/>
                <c:pt idx="0">
                  <c:v>2015</c:v>
                </c:pt>
              </c:strCache>
            </c:strRef>
          </c:tx>
          <c:spPr>
            <a:solidFill>
              <a:schemeClr val="accent1">
                <a:lumMod val="60000"/>
              </a:schemeClr>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conocimien'!$F$3:$F$24</c:f>
              <c:numCache>
                <c:formatCode>General</c:formatCode>
                <c:ptCount val="22"/>
                <c:pt idx="0">
                  <c:v>0</c:v>
                </c:pt>
                <c:pt idx="1">
                  <c:v>0</c:v>
                </c:pt>
                <c:pt idx="2">
                  <c:v>4832</c:v>
                </c:pt>
                <c:pt idx="3">
                  <c:v>873</c:v>
                </c:pt>
                <c:pt idx="4">
                  <c:v>1158</c:v>
                </c:pt>
                <c:pt idx="5">
                  <c:v>0</c:v>
                </c:pt>
                <c:pt idx="6">
                  <c:v>9521</c:v>
                </c:pt>
                <c:pt idx="7">
                  <c:v>205</c:v>
                </c:pt>
                <c:pt idx="8">
                  <c:v>45988</c:v>
                </c:pt>
                <c:pt idx="9">
                  <c:v>482</c:v>
                </c:pt>
                <c:pt idx="10">
                  <c:v>0</c:v>
                </c:pt>
                <c:pt idx="11">
                  <c:v>2410</c:v>
                </c:pt>
                <c:pt idx="12">
                  <c:v>0</c:v>
                </c:pt>
                <c:pt idx="13">
                  <c:v>5131</c:v>
                </c:pt>
                <c:pt idx="14">
                  <c:v>3736</c:v>
                </c:pt>
                <c:pt idx="15">
                  <c:v>0</c:v>
                </c:pt>
                <c:pt idx="16">
                  <c:v>0</c:v>
                </c:pt>
                <c:pt idx="17">
                  <c:v>3221</c:v>
                </c:pt>
                <c:pt idx="18">
                  <c:v>3608</c:v>
                </c:pt>
                <c:pt idx="19">
                  <c:v>0</c:v>
                </c:pt>
                <c:pt idx="20">
                  <c:v>296</c:v>
                </c:pt>
                <c:pt idx="21">
                  <c:v>0</c:v>
                </c:pt>
              </c:numCache>
            </c:numRef>
          </c:val>
          <c:extLst>
            <c:ext xmlns:c16="http://schemas.microsoft.com/office/drawing/2014/chart" uri="{C3380CC4-5D6E-409C-BE32-E72D297353CC}">
              <c16:uniqueId val="{00000003-8BA5-4C93-988B-FF228CB516BB}"/>
            </c:ext>
          </c:extLst>
        </c:ser>
        <c:ser>
          <c:idx val="4"/>
          <c:order val="4"/>
          <c:tx>
            <c:strRef>
              <c:f>'Vacantes por área de conocimien'!$G$2</c:f>
              <c:strCache>
                <c:ptCount val="1"/>
                <c:pt idx="0">
                  <c:v>2016</c:v>
                </c:pt>
              </c:strCache>
            </c:strRef>
          </c:tx>
          <c:spPr>
            <a:solidFill>
              <a:schemeClr val="accent3">
                <a:lumMod val="60000"/>
              </a:schemeClr>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conocimien'!$G$3:$G$24</c:f>
              <c:numCache>
                <c:formatCode>General</c:formatCode>
                <c:ptCount val="22"/>
                <c:pt idx="0">
                  <c:v>0</c:v>
                </c:pt>
                <c:pt idx="1">
                  <c:v>0</c:v>
                </c:pt>
                <c:pt idx="2">
                  <c:v>2972</c:v>
                </c:pt>
                <c:pt idx="3">
                  <c:v>1131</c:v>
                </c:pt>
                <c:pt idx="4">
                  <c:v>1716</c:v>
                </c:pt>
                <c:pt idx="5">
                  <c:v>0</c:v>
                </c:pt>
                <c:pt idx="6">
                  <c:v>10800</c:v>
                </c:pt>
                <c:pt idx="7">
                  <c:v>205</c:v>
                </c:pt>
                <c:pt idx="8">
                  <c:v>49922</c:v>
                </c:pt>
                <c:pt idx="9">
                  <c:v>1081</c:v>
                </c:pt>
                <c:pt idx="10">
                  <c:v>0</c:v>
                </c:pt>
                <c:pt idx="11">
                  <c:v>2478</c:v>
                </c:pt>
                <c:pt idx="12">
                  <c:v>0</c:v>
                </c:pt>
                <c:pt idx="13">
                  <c:v>7904</c:v>
                </c:pt>
                <c:pt idx="14">
                  <c:v>10181</c:v>
                </c:pt>
                <c:pt idx="15">
                  <c:v>0</c:v>
                </c:pt>
                <c:pt idx="16">
                  <c:v>0</c:v>
                </c:pt>
                <c:pt idx="17">
                  <c:v>6142</c:v>
                </c:pt>
                <c:pt idx="18">
                  <c:v>8159</c:v>
                </c:pt>
                <c:pt idx="19">
                  <c:v>0</c:v>
                </c:pt>
                <c:pt idx="20">
                  <c:v>1229</c:v>
                </c:pt>
                <c:pt idx="21">
                  <c:v>0</c:v>
                </c:pt>
              </c:numCache>
            </c:numRef>
          </c:val>
          <c:extLst>
            <c:ext xmlns:c16="http://schemas.microsoft.com/office/drawing/2014/chart" uri="{C3380CC4-5D6E-409C-BE32-E72D297353CC}">
              <c16:uniqueId val="{00000004-8BA5-4C93-988B-FF228CB516BB}"/>
            </c:ext>
          </c:extLst>
        </c:ser>
        <c:ser>
          <c:idx val="5"/>
          <c:order val="5"/>
          <c:tx>
            <c:strRef>
              <c:f>'Vacantes por área de conocimien'!$H$2</c:f>
              <c:strCache>
                <c:ptCount val="1"/>
                <c:pt idx="0">
                  <c:v>2017</c:v>
                </c:pt>
              </c:strCache>
            </c:strRef>
          </c:tx>
          <c:spPr>
            <a:solidFill>
              <a:schemeClr val="accent5">
                <a:lumMod val="60000"/>
              </a:schemeClr>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conocimien'!$H$3:$H$24</c:f>
              <c:numCache>
                <c:formatCode>General</c:formatCode>
                <c:ptCount val="22"/>
                <c:pt idx="0">
                  <c:v>0</c:v>
                </c:pt>
                <c:pt idx="1">
                  <c:v>0</c:v>
                </c:pt>
                <c:pt idx="2">
                  <c:v>2810</c:v>
                </c:pt>
                <c:pt idx="3">
                  <c:v>1104</c:v>
                </c:pt>
                <c:pt idx="4">
                  <c:v>1989</c:v>
                </c:pt>
                <c:pt idx="5">
                  <c:v>0</c:v>
                </c:pt>
                <c:pt idx="6">
                  <c:v>9200</c:v>
                </c:pt>
                <c:pt idx="7">
                  <c:v>198</c:v>
                </c:pt>
                <c:pt idx="8">
                  <c:v>48458</c:v>
                </c:pt>
                <c:pt idx="9">
                  <c:v>711</c:v>
                </c:pt>
                <c:pt idx="10">
                  <c:v>0</c:v>
                </c:pt>
                <c:pt idx="11">
                  <c:v>2418</c:v>
                </c:pt>
                <c:pt idx="12">
                  <c:v>0</c:v>
                </c:pt>
                <c:pt idx="13">
                  <c:v>6742</c:v>
                </c:pt>
                <c:pt idx="14">
                  <c:v>8360</c:v>
                </c:pt>
                <c:pt idx="15">
                  <c:v>0</c:v>
                </c:pt>
                <c:pt idx="16">
                  <c:v>0</c:v>
                </c:pt>
                <c:pt idx="17">
                  <c:v>5576</c:v>
                </c:pt>
                <c:pt idx="18">
                  <c:v>9093</c:v>
                </c:pt>
                <c:pt idx="19">
                  <c:v>0</c:v>
                </c:pt>
                <c:pt idx="20">
                  <c:v>301</c:v>
                </c:pt>
                <c:pt idx="21">
                  <c:v>0</c:v>
                </c:pt>
              </c:numCache>
            </c:numRef>
          </c:val>
          <c:extLst>
            <c:ext xmlns:c16="http://schemas.microsoft.com/office/drawing/2014/chart" uri="{C3380CC4-5D6E-409C-BE32-E72D297353CC}">
              <c16:uniqueId val="{00000005-8BA5-4C93-988B-FF228CB516BB}"/>
            </c:ext>
          </c:extLst>
        </c:ser>
        <c:ser>
          <c:idx val="6"/>
          <c:order val="6"/>
          <c:tx>
            <c:strRef>
              <c:f>'Vacantes por área de conocimien'!$I$2</c:f>
              <c:strCache>
                <c:ptCount val="1"/>
                <c:pt idx="0">
                  <c:v>2018</c:v>
                </c:pt>
              </c:strCache>
            </c:strRef>
          </c:tx>
          <c:spPr>
            <a:solidFill>
              <a:schemeClr val="accent1">
                <a:lumMod val="80000"/>
                <a:lumOff val="20000"/>
              </a:schemeClr>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conocimien'!$I$3:$I$24</c:f>
              <c:numCache>
                <c:formatCode>General</c:formatCode>
                <c:ptCount val="22"/>
                <c:pt idx="0">
                  <c:v>0</c:v>
                </c:pt>
                <c:pt idx="1">
                  <c:v>0</c:v>
                </c:pt>
                <c:pt idx="2">
                  <c:v>1520</c:v>
                </c:pt>
                <c:pt idx="3">
                  <c:v>1384</c:v>
                </c:pt>
                <c:pt idx="4">
                  <c:v>1424</c:v>
                </c:pt>
                <c:pt idx="5">
                  <c:v>0</c:v>
                </c:pt>
                <c:pt idx="6">
                  <c:v>10356</c:v>
                </c:pt>
                <c:pt idx="7">
                  <c:v>658</c:v>
                </c:pt>
                <c:pt idx="8">
                  <c:v>38144</c:v>
                </c:pt>
                <c:pt idx="9">
                  <c:v>660</c:v>
                </c:pt>
                <c:pt idx="10">
                  <c:v>0</c:v>
                </c:pt>
                <c:pt idx="11">
                  <c:v>2479</c:v>
                </c:pt>
                <c:pt idx="12">
                  <c:v>0</c:v>
                </c:pt>
                <c:pt idx="13">
                  <c:v>7102</c:v>
                </c:pt>
                <c:pt idx="14">
                  <c:v>7649</c:v>
                </c:pt>
                <c:pt idx="15">
                  <c:v>0</c:v>
                </c:pt>
                <c:pt idx="16">
                  <c:v>0</c:v>
                </c:pt>
                <c:pt idx="17">
                  <c:v>0</c:v>
                </c:pt>
                <c:pt idx="18">
                  <c:v>8530</c:v>
                </c:pt>
                <c:pt idx="19">
                  <c:v>0</c:v>
                </c:pt>
                <c:pt idx="20">
                  <c:v>250</c:v>
                </c:pt>
                <c:pt idx="21">
                  <c:v>0</c:v>
                </c:pt>
              </c:numCache>
            </c:numRef>
          </c:val>
          <c:extLst>
            <c:ext xmlns:c16="http://schemas.microsoft.com/office/drawing/2014/chart" uri="{C3380CC4-5D6E-409C-BE32-E72D297353CC}">
              <c16:uniqueId val="{00000006-8BA5-4C93-988B-FF228CB516BB}"/>
            </c:ext>
          </c:extLst>
        </c:ser>
        <c:ser>
          <c:idx val="7"/>
          <c:order val="7"/>
          <c:tx>
            <c:strRef>
              <c:f>'Vacantes por área de conocimien'!$J$2</c:f>
              <c:strCache>
                <c:ptCount val="1"/>
                <c:pt idx="0">
                  <c:v>2019</c:v>
                </c:pt>
              </c:strCache>
            </c:strRef>
          </c:tx>
          <c:spPr>
            <a:solidFill>
              <a:schemeClr val="accent3">
                <a:lumMod val="80000"/>
                <a:lumOff val="20000"/>
              </a:schemeClr>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conocimien'!$J$3:$J$24</c:f>
              <c:numCache>
                <c:formatCode>General</c:formatCode>
                <c:ptCount val="22"/>
                <c:pt idx="0">
                  <c:v>0</c:v>
                </c:pt>
                <c:pt idx="1">
                  <c:v>0</c:v>
                </c:pt>
                <c:pt idx="2">
                  <c:v>1742</c:v>
                </c:pt>
                <c:pt idx="3">
                  <c:v>2245</c:v>
                </c:pt>
                <c:pt idx="4">
                  <c:v>1507</c:v>
                </c:pt>
                <c:pt idx="5">
                  <c:v>0</c:v>
                </c:pt>
                <c:pt idx="6">
                  <c:v>14538</c:v>
                </c:pt>
                <c:pt idx="7">
                  <c:v>569</c:v>
                </c:pt>
                <c:pt idx="8">
                  <c:v>50253</c:v>
                </c:pt>
                <c:pt idx="9">
                  <c:v>590</c:v>
                </c:pt>
                <c:pt idx="10">
                  <c:v>0</c:v>
                </c:pt>
                <c:pt idx="11">
                  <c:v>5743</c:v>
                </c:pt>
                <c:pt idx="12">
                  <c:v>0</c:v>
                </c:pt>
                <c:pt idx="13">
                  <c:v>12156</c:v>
                </c:pt>
                <c:pt idx="14">
                  <c:v>7528</c:v>
                </c:pt>
                <c:pt idx="15">
                  <c:v>0</c:v>
                </c:pt>
                <c:pt idx="16">
                  <c:v>0</c:v>
                </c:pt>
                <c:pt idx="17">
                  <c:v>1</c:v>
                </c:pt>
                <c:pt idx="18">
                  <c:v>16521</c:v>
                </c:pt>
                <c:pt idx="19">
                  <c:v>0</c:v>
                </c:pt>
                <c:pt idx="20">
                  <c:v>168</c:v>
                </c:pt>
                <c:pt idx="21">
                  <c:v>0</c:v>
                </c:pt>
              </c:numCache>
            </c:numRef>
          </c:val>
          <c:extLst>
            <c:ext xmlns:c16="http://schemas.microsoft.com/office/drawing/2014/chart" uri="{C3380CC4-5D6E-409C-BE32-E72D297353CC}">
              <c16:uniqueId val="{00000007-8BA5-4C93-988B-FF228CB516BB}"/>
            </c:ext>
          </c:extLst>
        </c:ser>
        <c:ser>
          <c:idx val="8"/>
          <c:order val="8"/>
          <c:tx>
            <c:strRef>
              <c:f>'Vacantes por área de conocimien'!$K$2</c:f>
              <c:strCache>
                <c:ptCount val="1"/>
                <c:pt idx="0">
                  <c:v>2020</c:v>
                </c:pt>
              </c:strCache>
            </c:strRef>
          </c:tx>
          <c:spPr>
            <a:solidFill>
              <a:schemeClr val="accent5">
                <a:lumMod val="80000"/>
                <a:lumOff val="20000"/>
              </a:schemeClr>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conocimien'!$K$3:$K$24</c:f>
              <c:numCache>
                <c:formatCode>General</c:formatCode>
                <c:ptCount val="22"/>
                <c:pt idx="0">
                  <c:v>0</c:v>
                </c:pt>
                <c:pt idx="1">
                  <c:v>0</c:v>
                </c:pt>
                <c:pt idx="2">
                  <c:v>2202</c:v>
                </c:pt>
                <c:pt idx="3">
                  <c:v>2240</c:v>
                </c:pt>
                <c:pt idx="4">
                  <c:v>2936</c:v>
                </c:pt>
                <c:pt idx="5">
                  <c:v>0</c:v>
                </c:pt>
                <c:pt idx="6">
                  <c:v>8256</c:v>
                </c:pt>
                <c:pt idx="7">
                  <c:v>638</c:v>
                </c:pt>
                <c:pt idx="8">
                  <c:v>47524</c:v>
                </c:pt>
                <c:pt idx="9">
                  <c:v>464</c:v>
                </c:pt>
                <c:pt idx="10">
                  <c:v>0</c:v>
                </c:pt>
                <c:pt idx="11">
                  <c:v>14599</c:v>
                </c:pt>
                <c:pt idx="12">
                  <c:v>0</c:v>
                </c:pt>
                <c:pt idx="13">
                  <c:v>8692</c:v>
                </c:pt>
                <c:pt idx="14">
                  <c:v>5825</c:v>
                </c:pt>
                <c:pt idx="15">
                  <c:v>0</c:v>
                </c:pt>
                <c:pt idx="16">
                  <c:v>0</c:v>
                </c:pt>
                <c:pt idx="17">
                  <c:v>672</c:v>
                </c:pt>
                <c:pt idx="18">
                  <c:v>9311</c:v>
                </c:pt>
                <c:pt idx="19">
                  <c:v>0</c:v>
                </c:pt>
                <c:pt idx="20">
                  <c:v>156</c:v>
                </c:pt>
                <c:pt idx="21">
                  <c:v>0</c:v>
                </c:pt>
              </c:numCache>
            </c:numRef>
          </c:val>
          <c:extLst>
            <c:ext xmlns:c16="http://schemas.microsoft.com/office/drawing/2014/chart" uri="{C3380CC4-5D6E-409C-BE32-E72D297353CC}">
              <c16:uniqueId val="{00000008-8BA5-4C93-988B-FF228CB516BB}"/>
            </c:ext>
          </c:extLst>
        </c:ser>
        <c:ser>
          <c:idx val="9"/>
          <c:order val="9"/>
          <c:tx>
            <c:strRef>
              <c:f>'Vacantes por área de conocimien'!$L$2</c:f>
              <c:strCache>
                <c:ptCount val="1"/>
                <c:pt idx="0">
                  <c:v>2021</c:v>
                </c:pt>
              </c:strCache>
            </c:strRef>
          </c:tx>
          <c:spPr>
            <a:solidFill>
              <a:schemeClr val="accent1">
                <a:lumMod val="80000"/>
              </a:schemeClr>
            </a:solidFill>
            <a:ln>
              <a:noFill/>
            </a:ln>
            <a:effectLst/>
          </c:spPr>
          <c:invertIfNegative val="0"/>
          <c:cat>
            <c:strRef>
              <c:f>'Vacantes por área de conocimien'!$B$3:$B$24</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'Vacantes por área de conocimien'!$L$3:$L$24</c:f>
              <c:numCache>
                <c:formatCode>General</c:formatCode>
                <c:ptCount val="22"/>
                <c:pt idx="0">
                  <c:v>0</c:v>
                </c:pt>
                <c:pt idx="1">
                  <c:v>0</c:v>
                </c:pt>
                <c:pt idx="2">
                  <c:v>3017</c:v>
                </c:pt>
                <c:pt idx="3">
                  <c:v>2448</c:v>
                </c:pt>
                <c:pt idx="4">
                  <c:v>4863</c:v>
                </c:pt>
                <c:pt idx="5">
                  <c:v>0</c:v>
                </c:pt>
                <c:pt idx="6">
                  <c:v>13082</c:v>
                </c:pt>
                <c:pt idx="7">
                  <c:v>968</c:v>
                </c:pt>
                <c:pt idx="8">
                  <c:v>63382</c:v>
                </c:pt>
                <c:pt idx="9">
                  <c:v>558</c:v>
                </c:pt>
                <c:pt idx="10">
                  <c:v>0</c:v>
                </c:pt>
                <c:pt idx="11">
                  <c:v>15621</c:v>
                </c:pt>
                <c:pt idx="12">
                  <c:v>0</c:v>
                </c:pt>
                <c:pt idx="13">
                  <c:v>11430</c:v>
                </c:pt>
                <c:pt idx="14">
                  <c:v>7169</c:v>
                </c:pt>
                <c:pt idx="15">
                  <c:v>0</c:v>
                </c:pt>
                <c:pt idx="16">
                  <c:v>0</c:v>
                </c:pt>
                <c:pt idx="17">
                  <c:v>1002</c:v>
                </c:pt>
                <c:pt idx="18">
                  <c:v>13409</c:v>
                </c:pt>
                <c:pt idx="19">
                  <c:v>0</c:v>
                </c:pt>
                <c:pt idx="20">
                  <c:v>268</c:v>
                </c:pt>
                <c:pt idx="21">
                  <c:v>0</c:v>
                </c:pt>
              </c:numCache>
            </c:numRef>
          </c:val>
          <c:extLst>
            <c:ext xmlns:c16="http://schemas.microsoft.com/office/drawing/2014/chart" uri="{C3380CC4-5D6E-409C-BE32-E72D297353CC}">
              <c16:uniqueId val="{00000009-8BA5-4C93-988B-FF228CB516BB}"/>
            </c:ext>
          </c:extLst>
        </c:ser>
        <c:dLbls>
          <c:showLegendKey val="0"/>
          <c:showVal val="0"/>
          <c:showCatName val="0"/>
          <c:showSerName val="0"/>
          <c:showPercent val="0"/>
          <c:showBubbleSize val="0"/>
        </c:dLbls>
        <c:gapWidth val="75"/>
        <c:overlap val="-25"/>
        <c:axId val="2045690768"/>
        <c:axId val="2045696176"/>
      </c:barChart>
      <c:catAx>
        <c:axId val="2045690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45696176"/>
        <c:crosses val="autoZero"/>
        <c:auto val="1"/>
        <c:lblAlgn val="ctr"/>
        <c:lblOffset val="100"/>
        <c:noMultiLvlLbl val="0"/>
      </c:catAx>
      <c:valAx>
        <c:axId val="2045696176"/>
        <c:scaling>
          <c:orientation val="minMax"/>
          <c:max val="650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45690768"/>
        <c:crosses val="autoZero"/>
        <c:crossBetween val="between"/>
        <c:majorUnit val="5000"/>
      </c:valAx>
      <c:spPr>
        <a:noFill/>
        <a:ln>
          <a:noFill/>
        </a:ln>
        <a:effectLst/>
      </c:spPr>
    </c:plotArea>
    <c:legend>
      <c:legendPos val="b"/>
      <c:layout>
        <c:manualLayout>
          <c:xMode val="edge"/>
          <c:yMode val="edge"/>
          <c:x val="0.19165354330708662"/>
          <c:y val="0.95213128661947577"/>
          <c:w val="0.61669291338582666"/>
          <c:h val="3.7301161218484057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48606904906117E-2"/>
          <c:y val="3.233867411436131E-2"/>
          <c:w val="0.89100965744666527"/>
          <c:h val="0.43595039575414324"/>
        </c:manualLayout>
      </c:layout>
      <c:barChart>
        <c:barDir val="col"/>
        <c:grouping val="clustered"/>
        <c:varyColors val="0"/>
        <c:ser>
          <c:idx val="0"/>
          <c:order val="0"/>
          <c:tx>
            <c:strRef>
              <c:f>'Vacantes por área de conoci (2'!$C$2</c:f>
              <c:strCache>
                <c:ptCount val="1"/>
                <c:pt idx="0">
                  <c:v>2012</c:v>
                </c:pt>
              </c:strCache>
            </c:strRef>
          </c:tx>
          <c:spPr>
            <a:solidFill>
              <a:schemeClr val="accent1"/>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(2'!$C$3:$C$23</c:f>
              <c:numCache>
                <c:formatCode>General</c:formatCode>
                <c:ptCount val="21"/>
                <c:pt idx="0">
                  <c:v>0</c:v>
                </c:pt>
                <c:pt idx="1">
                  <c:v>0</c:v>
                </c:pt>
                <c:pt idx="2">
                  <c:v>2656</c:v>
                </c:pt>
                <c:pt idx="3">
                  <c:v>508</c:v>
                </c:pt>
                <c:pt idx="4">
                  <c:v>425</c:v>
                </c:pt>
                <c:pt idx="5">
                  <c:v>0</c:v>
                </c:pt>
                <c:pt idx="6">
                  <c:v>3626</c:v>
                </c:pt>
                <c:pt idx="7">
                  <c:v>72</c:v>
                </c:pt>
                <c:pt idx="8">
                  <c:v>148</c:v>
                </c:pt>
                <c:pt idx="9">
                  <c:v>0</c:v>
                </c:pt>
                <c:pt idx="10">
                  <c:v>1230</c:v>
                </c:pt>
                <c:pt idx="11">
                  <c:v>0</c:v>
                </c:pt>
                <c:pt idx="12">
                  <c:v>4343</c:v>
                </c:pt>
                <c:pt idx="13">
                  <c:v>1843</c:v>
                </c:pt>
                <c:pt idx="14">
                  <c:v>0</c:v>
                </c:pt>
                <c:pt idx="15">
                  <c:v>0</c:v>
                </c:pt>
                <c:pt idx="16">
                  <c:v>1169</c:v>
                </c:pt>
                <c:pt idx="17">
                  <c:v>4540</c:v>
                </c:pt>
                <c:pt idx="18">
                  <c:v>0</c:v>
                </c:pt>
                <c:pt idx="19">
                  <c:v>95</c:v>
                </c:pt>
                <c:pt idx="20">
                  <c:v>0</c:v>
                </c:pt>
              </c:numCache>
            </c:numRef>
          </c:val>
          <c:extLst>
            <c:ext xmlns:c16="http://schemas.microsoft.com/office/drawing/2014/chart" uri="{C3380CC4-5D6E-409C-BE32-E72D297353CC}">
              <c16:uniqueId val="{00000000-B6A0-4042-A479-35B0D48B49C1}"/>
            </c:ext>
          </c:extLst>
        </c:ser>
        <c:ser>
          <c:idx val="1"/>
          <c:order val="1"/>
          <c:tx>
            <c:strRef>
              <c:f>'Vacantes por área de conoci (2'!$D$2</c:f>
              <c:strCache>
                <c:ptCount val="1"/>
                <c:pt idx="0">
                  <c:v>2013</c:v>
                </c:pt>
              </c:strCache>
            </c:strRef>
          </c:tx>
          <c:spPr>
            <a:solidFill>
              <a:schemeClr val="accent3"/>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(2'!$D$3:$D$23</c:f>
              <c:numCache>
                <c:formatCode>General</c:formatCode>
                <c:ptCount val="21"/>
                <c:pt idx="0">
                  <c:v>0</c:v>
                </c:pt>
                <c:pt idx="1">
                  <c:v>0</c:v>
                </c:pt>
                <c:pt idx="2">
                  <c:v>2701</c:v>
                </c:pt>
                <c:pt idx="3">
                  <c:v>450</c:v>
                </c:pt>
                <c:pt idx="4">
                  <c:v>465</c:v>
                </c:pt>
                <c:pt idx="5">
                  <c:v>0</c:v>
                </c:pt>
                <c:pt idx="6">
                  <c:v>3624</c:v>
                </c:pt>
                <c:pt idx="7">
                  <c:v>73</c:v>
                </c:pt>
                <c:pt idx="8">
                  <c:v>179</c:v>
                </c:pt>
                <c:pt idx="9">
                  <c:v>0</c:v>
                </c:pt>
                <c:pt idx="10">
                  <c:v>1778</c:v>
                </c:pt>
                <c:pt idx="11">
                  <c:v>0</c:v>
                </c:pt>
                <c:pt idx="12">
                  <c:v>3767</c:v>
                </c:pt>
                <c:pt idx="13">
                  <c:v>1927</c:v>
                </c:pt>
                <c:pt idx="14">
                  <c:v>0</c:v>
                </c:pt>
                <c:pt idx="15">
                  <c:v>0</c:v>
                </c:pt>
                <c:pt idx="16">
                  <c:v>1321</c:v>
                </c:pt>
                <c:pt idx="17">
                  <c:v>6785</c:v>
                </c:pt>
                <c:pt idx="18">
                  <c:v>0</c:v>
                </c:pt>
                <c:pt idx="19">
                  <c:v>92</c:v>
                </c:pt>
                <c:pt idx="20">
                  <c:v>0</c:v>
                </c:pt>
              </c:numCache>
            </c:numRef>
          </c:val>
          <c:extLst>
            <c:ext xmlns:c16="http://schemas.microsoft.com/office/drawing/2014/chart" uri="{C3380CC4-5D6E-409C-BE32-E72D297353CC}">
              <c16:uniqueId val="{00000001-B6A0-4042-A479-35B0D48B49C1}"/>
            </c:ext>
          </c:extLst>
        </c:ser>
        <c:ser>
          <c:idx val="2"/>
          <c:order val="2"/>
          <c:tx>
            <c:strRef>
              <c:f>'Vacantes por área de conoci (2'!$E$2</c:f>
              <c:strCache>
                <c:ptCount val="1"/>
                <c:pt idx="0">
                  <c:v>2014</c:v>
                </c:pt>
              </c:strCache>
            </c:strRef>
          </c:tx>
          <c:spPr>
            <a:solidFill>
              <a:schemeClr val="accent5"/>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(2'!$E$3:$E$23</c:f>
              <c:numCache>
                <c:formatCode>General</c:formatCode>
                <c:ptCount val="21"/>
                <c:pt idx="0">
                  <c:v>0</c:v>
                </c:pt>
                <c:pt idx="1">
                  <c:v>0</c:v>
                </c:pt>
                <c:pt idx="2">
                  <c:v>2411</c:v>
                </c:pt>
                <c:pt idx="3">
                  <c:v>546</c:v>
                </c:pt>
                <c:pt idx="4">
                  <c:v>616</c:v>
                </c:pt>
                <c:pt idx="5">
                  <c:v>0</c:v>
                </c:pt>
                <c:pt idx="6">
                  <c:v>4733</c:v>
                </c:pt>
                <c:pt idx="7">
                  <c:v>96</c:v>
                </c:pt>
                <c:pt idx="8">
                  <c:v>198</c:v>
                </c:pt>
                <c:pt idx="9">
                  <c:v>0</c:v>
                </c:pt>
                <c:pt idx="10">
                  <c:v>1355</c:v>
                </c:pt>
                <c:pt idx="11">
                  <c:v>0</c:v>
                </c:pt>
                <c:pt idx="12">
                  <c:v>5150</c:v>
                </c:pt>
                <c:pt idx="13">
                  <c:v>2259</c:v>
                </c:pt>
                <c:pt idx="14">
                  <c:v>0</c:v>
                </c:pt>
                <c:pt idx="15">
                  <c:v>0</c:v>
                </c:pt>
                <c:pt idx="16">
                  <c:v>1982</c:v>
                </c:pt>
                <c:pt idx="17">
                  <c:v>4353</c:v>
                </c:pt>
                <c:pt idx="18">
                  <c:v>0</c:v>
                </c:pt>
                <c:pt idx="19">
                  <c:v>152</c:v>
                </c:pt>
                <c:pt idx="20">
                  <c:v>0</c:v>
                </c:pt>
              </c:numCache>
            </c:numRef>
          </c:val>
          <c:extLst>
            <c:ext xmlns:c16="http://schemas.microsoft.com/office/drawing/2014/chart" uri="{C3380CC4-5D6E-409C-BE32-E72D297353CC}">
              <c16:uniqueId val="{00000002-B6A0-4042-A479-35B0D48B49C1}"/>
            </c:ext>
          </c:extLst>
        </c:ser>
        <c:ser>
          <c:idx val="3"/>
          <c:order val="3"/>
          <c:tx>
            <c:strRef>
              <c:f>'Vacantes por área de conoci (2'!$F$2</c:f>
              <c:strCache>
                <c:ptCount val="1"/>
                <c:pt idx="0">
                  <c:v>2015</c:v>
                </c:pt>
              </c:strCache>
            </c:strRef>
          </c:tx>
          <c:spPr>
            <a:solidFill>
              <a:schemeClr val="accent1">
                <a:lumMod val="60000"/>
              </a:schemeClr>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(2'!$F$3:$F$23</c:f>
              <c:numCache>
                <c:formatCode>General</c:formatCode>
                <c:ptCount val="21"/>
                <c:pt idx="0">
                  <c:v>0</c:v>
                </c:pt>
                <c:pt idx="1">
                  <c:v>0</c:v>
                </c:pt>
                <c:pt idx="2">
                  <c:v>4832</c:v>
                </c:pt>
                <c:pt idx="3">
                  <c:v>873</c:v>
                </c:pt>
                <c:pt idx="4">
                  <c:v>1158</c:v>
                </c:pt>
                <c:pt idx="5">
                  <c:v>0</c:v>
                </c:pt>
                <c:pt idx="6">
                  <c:v>9521</c:v>
                </c:pt>
                <c:pt idx="7">
                  <c:v>205</c:v>
                </c:pt>
                <c:pt idx="8">
                  <c:v>482</c:v>
                </c:pt>
                <c:pt idx="9">
                  <c:v>0</c:v>
                </c:pt>
                <c:pt idx="10">
                  <c:v>2410</c:v>
                </c:pt>
                <c:pt idx="11">
                  <c:v>0</c:v>
                </c:pt>
                <c:pt idx="12">
                  <c:v>5131</c:v>
                </c:pt>
                <c:pt idx="13">
                  <c:v>3736</c:v>
                </c:pt>
                <c:pt idx="14">
                  <c:v>0</c:v>
                </c:pt>
                <c:pt idx="15">
                  <c:v>0</c:v>
                </c:pt>
                <c:pt idx="16">
                  <c:v>3221</c:v>
                </c:pt>
                <c:pt idx="17">
                  <c:v>3608</c:v>
                </c:pt>
                <c:pt idx="18">
                  <c:v>0</c:v>
                </c:pt>
                <c:pt idx="19">
                  <c:v>296</c:v>
                </c:pt>
                <c:pt idx="20">
                  <c:v>0</c:v>
                </c:pt>
              </c:numCache>
            </c:numRef>
          </c:val>
          <c:extLst>
            <c:ext xmlns:c16="http://schemas.microsoft.com/office/drawing/2014/chart" uri="{C3380CC4-5D6E-409C-BE32-E72D297353CC}">
              <c16:uniqueId val="{00000003-B6A0-4042-A479-35B0D48B49C1}"/>
            </c:ext>
          </c:extLst>
        </c:ser>
        <c:ser>
          <c:idx val="4"/>
          <c:order val="4"/>
          <c:tx>
            <c:strRef>
              <c:f>'Vacantes por área de conoci (2'!$G$2</c:f>
              <c:strCache>
                <c:ptCount val="1"/>
                <c:pt idx="0">
                  <c:v>2016</c:v>
                </c:pt>
              </c:strCache>
            </c:strRef>
          </c:tx>
          <c:spPr>
            <a:solidFill>
              <a:schemeClr val="accent3">
                <a:lumMod val="60000"/>
              </a:schemeClr>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(2'!$G$3:$G$23</c:f>
              <c:numCache>
                <c:formatCode>General</c:formatCode>
                <c:ptCount val="21"/>
                <c:pt idx="0">
                  <c:v>0</c:v>
                </c:pt>
                <c:pt idx="1">
                  <c:v>0</c:v>
                </c:pt>
                <c:pt idx="2">
                  <c:v>2972</c:v>
                </c:pt>
                <c:pt idx="3">
                  <c:v>1131</c:v>
                </c:pt>
                <c:pt idx="4">
                  <c:v>1716</c:v>
                </c:pt>
                <c:pt idx="5">
                  <c:v>0</c:v>
                </c:pt>
                <c:pt idx="6">
                  <c:v>10800</c:v>
                </c:pt>
                <c:pt idx="7">
                  <c:v>205</c:v>
                </c:pt>
                <c:pt idx="8">
                  <c:v>1081</c:v>
                </c:pt>
                <c:pt idx="9">
                  <c:v>0</c:v>
                </c:pt>
                <c:pt idx="10">
                  <c:v>2478</c:v>
                </c:pt>
                <c:pt idx="11">
                  <c:v>0</c:v>
                </c:pt>
                <c:pt idx="12">
                  <c:v>7904</c:v>
                </c:pt>
                <c:pt idx="13">
                  <c:v>10181</c:v>
                </c:pt>
                <c:pt idx="14">
                  <c:v>0</c:v>
                </c:pt>
                <c:pt idx="15">
                  <c:v>0</c:v>
                </c:pt>
                <c:pt idx="16">
                  <c:v>6142</c:v>
                </c:pt>
                <c:pt idx="17">
                  <c:v>8159</c:v>
                </c:pt>
                <c:pt idx="18">
                  <c:v>0</c:v>
                </c:pt>
                <c:pt idx="19">
                  <c:v>1229</c:v>
                </c:pt>
                <c:pt idx="20">
                  <c:v>0</c:v>
                </c:pt>
              </c:numCache>
            </c:numRef>
          </c:val>
          <c:extLst>
            <c:ext xmlns:c16="http://schemas.microsoft.com/office/drawing/2014/chart" uri="{C3380CC4-5D6E-409C-BE32-E72D297353CC}">
              <c16:uniqueId val="{00000004-B6A0-4042-A479-35B0D48B49C1}"/>
            </c:ext>
          </c:extLst>
        </c:ser>
        <c:ser>
          <c:idx val="5"/>
          <c:order val="5"/>
          <c:tx>
            <c:strRef>
              <c:f>'Vacantes por área de conoci (2'!$H$2</c:f>
              <c:strCache>
                <c:ptCount val="1"/>
                <c:pt idx="0">
                  <c:v>2017</c:v>
                </c:pt>
              </c:strCache>
            </c:strRef>
          </c:tx>
          <c:spPr>
            <a:solidFill>
              <a:schemeClr val="accent5">
                <a:lumMod val="60000"/>
              </a:schemeClr>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(2'!$H$3:$H$23</c:f>
              <c:numCache>
                <c:formatCode>General</c:formatCode>
                <c:ptCount val="21"/>
                <c:pt idx="0">
                  <c:v>0</c:v>
                </c:pt>
                <c:pt idx="1">
                  <c:v>0</c:v>
                </c:pt>
                <c:pt idx="2">
                  <c:v>2810</c:v>
                </c:pt>
                <c:pt idx="3">
                  <c:v>1104</c:v>
                </c:pt>
                <c:pt idx="4">
                  <c:v>1989</c:v>
                </c:pt>
                <c:pt idx="5">
                  <c:v>0</c:v>
                </c:pt>
                <c:pt idx="6">
                  <c:v>9200</c:v>
                </c:pt>
                <c:pt idx="7">
                  <c:v>198</c:v>
                </c:pt>
                <c:pt idx="8">
                  <c:v>711</c:v>
                </c:pt>
                <c:pt idx="9">
                  <c:v>0</c:v>
                </c:pt>
                <c:pt idx="10">
                  <c:v>2418</c:v>
                </c:pt>
                <c:pt idx="11">
                  <c:v>0</c:v>
                </c:pt>
                <c:pt idx="12">
                  <c:v>6742</c:v>
                </c:pt>
                <c:pt idx="13">
                  <c:v>8360</c:v>
                </c:pt>
                <c:pt idx="14">
                  <c:v>0</c:v>
                </c:pt>
                <c:pt idx="15">
                  <c:v>0</c:v>
                </c:pt>
                <c:pt idx="16">
                  <c:v>5576</c:v>
                </c:pt>
                <c:pt idx="17">
                  <c:v>9093</c:v>
                </c:pt>
                <c:pt idx="18">
                  <c:v>0</c:v>
                </c:pt>
                <c:pt idx="19">
                  <c:v>301</c:v>
                </c:pt>
                <c:pt idx="20">
                  <c:v>0</c:v>
                </c:pt>
              </c:numCache>
            </c:numRef>
          </c:val>
          <c:extLst>
            <c:ext xmlns:c16="http://schemas.microsoft.com/office/drawing/2014/chart" uri="{C3380CC4-5D6E-409C-BE32-E72D297353CC}">
              <c16:uniqueId val="{00000005-B6A0-4042-A479-35B0D48B49C1}"/>
            </c:ext>
          </c:extLst>
        </c:ser>
        <c:ser>
          <c:idx val="6"/>
          <c:order val="6"/>
          <c:tx>
            <c:strRef>
              <c:f>'Vacantes por área de conoci (2'!$I$2</c:f>
              <c:strCache>
                <c:ptCount val="1"/>
                <c:pt idx="0">
                  <c:v>2018</c:v>
                </c:pt>
              </c:strCache>
            </c:strRef>
          </c:tx>
          <c:spPr>
            <a:solidFill>
              <a:schemeClr val="accent1">
                <a:lumMod val="80000"/>
                <a:lumOff val="20000"/>
              </a:schemeClr>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(2'!$I$3:$I$23</c:f>
              <c:numCache>
                <c:formatCode>General</c:formatCode>
                <c:ptCount val="21"/>
                <c:pt idx="0">
                  <c:v>0</c:v>
                </c:pt>
                <c:pt idx="1">
                  <c:v>0</c:v>
                </c:pt>
                <c:pt idx="2">
                  <c:v>1520</c:v>
                </c:pt>
                <c:pt idx="3">
                  <c:v>1384</c:v>
                </c:pt>
                <c:pt idx="4">
                  <c:v>1424</c:v>
                </c:pt>
                <c:pt idx="5">
                  <c:v>0</c:v>
                </c:pt>
                <c:pt idx="6">
                  <c:v>10356</c:v>
                </c:pt>
                <c:pt idx="7">
                  <c:v>658</c:v>
                </c:pt>
                <c:pt idx="8">
                  <c:v>660</c:v>
                </c:pt>
                <c:pt idx="9">
                  <c:v>0</c:v>
                </c:pt>
                <c:pt idx="10">
                  <c:v>2479</c:v>
                </c:pt>
                <c:pt idx="11">
                  <c:v>0</c:v>
                </c:pt>
                <c:pt idx="12">
                  <c:v>7102</c:v>
                </c:pt>
                <c:pt idx="13">
                  <c:v>7649</c:v>
                </c:pt>
                <c:pt idx="14">
                  <c:v>0</c:v>
                </c:pt>
                <c:pt idx="15">
                  <c:v>0</c:v>
                </c:pt>
                <c:pt idx="16">
                  <c:v>0</c:v>
                </c:pt>
                <c:pt idx="17">
                  <c:v>8530</c:v>
                </c:pt>
                <c:pt idx="18">
                  <c:v>0</c:v>
                </c:pt>
                <c:pt idx="19">
                  <c:v>250</c:v>
                </c:pt>
                <c:pt idx="20">
                  <c:v>0</c:v>
                </c:pt>
              </c:numCache>
            </c:numRef>
          </c:val>
          <c:extLst>
            <c:ext xmlns:c16="http://schemas.microsoft.com/office/drawing/2014/chart" uri="{C3380CC4-5D6E-409C-BE32-E72D297353CC}">
              <c16:uniqueId val="{00000006-B6A0-4042-A479-35B0D48B49C1}"/>
            </c:ext>
          </c:extLst>
        </c:ser>
        <c:ser>
          <c:idx val="7"/>
          <c:order val="7"/>
          <c:tx>
            <c:strRef>
              <c:f>'Vacantes por área de conoci (2'!$J$2</c:f>
              <c:strCache>
                <c:ptCount val="1"/>
                <c:pt idx="0">
                  <c:v>2019</c:v>
                </c:pt>
              </c:strCache>
            </c:strRef>
          </c:tx>
          <c:spPr>
            <a:solidFill>
              <a:schemeClr val="accent3">
                <a:lumMod val="80000"/>
                <a:lumOff val="20000"/>
              </a:schemeClr>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(2'!$J$3:$J$23</c:f>
              <c:numCache>
                <c:formatCode>General</c:formatCode>
                <c:ptCount val="21"/>
                <c:pt idx="0">
                  <c:v>0</c:v>
                </c:pt>
                <c:pt idx="1">
                  <c:v>0</c:v>
                </c:pt>
                <c:pt idx="2">
                  <c:v>1742</c:v>
                </c:pt>
                <c:pt idx="3">
                  <c:v>2245</c:v>
                </c:pt>
                <c:pt idx="4">
                  <c:v>1507</c:v>
                </c:pt>
                <c:pt idx="5">
                  <c:v>0</c:v>
                </c:pt>
                <c:pt idx="6">
                  <c:v>14538</c:v>
                </c:pt>
                <c:pt idx="7">
                  <c:v>569</c:v>
                </c:pt>
                <c:pt idx="8">
                  <c:v>590</c:v>
                </c:pt>
                <c:pt idx="9">
                  <c:v>0</c:v>
                </c:pt>
                <c:pt idx="10">
                  <c:v>5743</c:v>
                </c:pt>
                <c:pt idx="11">
                  <c:v>0</c:v>
                </c:pt>
                <c:pt idx="12">
                  <c:v>12156</c:v>
                </c:pt>
                <c:pt idx="13">
                  <c:v>7528</c:v>
                </c:pt>
                <c:pt idx="14">
                  <c:v>0</c:v>
                </c:pt>
                <c:pt idx="15">
                  <c:v>0</c:v>
                </c:pt>
                <c:pt idx="16">
                  <c:v>1</c:v>
                </c:pt>
                <c:pt idx="17">
                  <c:v>16521</c:v>
                </c:pt>
                <c:pt idx="18">
                  <c:v>0</c:v>
                </c:pt>
                <c:pt idx="19">
                  <c:v>168</c:v>
                </c:pt>
                <c:pt idx="20">
                  <c:v>0</c:v>
                </c:pt>
              </c:numCache>
            </c:numRef>
          </c:val>
          <c:extLst>
            <c:ext xmlns:c16="http://schemas.microsoft.com/office/drawing/2014/chart" uri="{C3380CC4-5D6E-409C-BE32-E72D297353CC}">
              <c16:uniqueId val="{00000007-B6A0-4042-A479-35B0D48B49C1}"/>
            </c:ext>
          </c:extLst>
        </c:ser>
        <c:ser>
          <c:idx val="8"/>
          <c:order val="8"/>
          <c:tx>
            <c:strRef>
              <c:f>'Vacantes por área de conoci (2'!$K$2</c:f>
              <c:strCache>
                <c:ptCount val="1"/>
                <c:pt idx="0">
                  <c:v>2020</c:v>
                </c:pt>
              </c:strCache>
            </c:strRef>
          </c:tx>
          <c:spPr>
            <a:solidFill>
              <a:schemeClr val="accent5">
                <a:lumMod val="80000"/>
                <a:lumOff val="20000"/>
              </a:schemeClr>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(2'!$K$3:$K$23</c:f>
              <c:numCache>
                <c:formatCode>General</c:formatCode>
                <c:ptCount val="21"/>
                <c:pt idx="0">
                  <c:v>0</c:v>
                </c:pt>
                <c:pt idx="1">
                  <c:v>0</c:v>
                </c:pt>
                <c:pt idx="2">
                  <c:v>2202</c:v>
                </c:pt>
                <c:pt idx="3">
                  <c:v>2240</c:v>
                </c:pt>
                <c:pt idx="4">
                  <c:v>2936</c:v>
                </c:pt>
                <c:pt idx="5">
                  <c:v>0</c:v>
                </c:pt>
                <c:pt idx="6">
                  <c:v>8256</c:v>
                </c:pt>
                <c:pt idx="7">
                  <c:v>638</c:v>
                </c:pt>
                <c:pt idx="8">
                  <c:v>464</c:v>
                </c:pt>
                <c:pt idx="9">
                  <c:v>0</c:v>
                </c:pt>
                <c:pt idx="10">
                  <c:v>14599</c:v>
                </c:pt>
                <c:pt idx="11">
                  <c:v>0</c:v>
                </c:pt>
                <c:pt idx="12">
                  <c:v>8692</c:v>
                </c:pt>
                <c:pt idx="13">
                  <c:v>5825</c:v>
                </c:pt>
                <c:pt idx="14">
                  <c:v>0</c:v>
                </c:pt>
                <c:pt idx="15">
                  <c:v>0</c:v>
                </c:pt>
                <c:pt idx="16">
                  <c:v>672</c:v>
                </c:pt>
                <c:pt idx="17">
                  <c:v>9311</c:v>
                </c:pt>
                <c:pt idx="18">
                  <c:v>0</c:v>
                </c:pt>
                <c:pt idx="19">
                  <c:v>156</c:v>
                </c:pt>
                <c:pt idx="20">
                  <c:v>0</c:v>
                </c:pt>
              </c:numCache>
            </c:numRef>
          </c:val>
          <c:extLst>
            <c:ext xmlns:c16="http://schemas.microsoft.com/office/drawing/2014/chart" uri="{C3380CC4-5D6E-409C-BE32-E72D297353CC}">
              <c16:uniqueId val="{00000008-B6A0-4042-A479-35B0D48B49C1}"/>
            </c:ext>
          </c:extLst>
        </c:ser>
        <c:ser>
          <c:idx val="9"/>
          <c:order val="9"/>
          <c:tx>
            <c:strRef>
              <c:f>'Vacantes por área de conoci (2'!$L$2</c:f>
              <c:strCache>
                <c:ptCount val="1"/>
                <c:pt idx="0">
                  <c:v>2021</c:v>
                </c:pt>
              </c:strCache>
            </c:strRef>
          </c:tx>
          <c:spPr>
            <a:solidFill>
              <a:schemeClr val="accent1">
                <a:lumMod val="80000"/>
              </a:schemeClr>
            </a:solidFill>
            <a:ln>
              <a:noFill/>
            </a:ln>
            <a:effectLst/>
          </c:spPr>
          <c:invertIfNegative val="0"/>
          <c:cat>
            <c:strRef>
              <c:f>'Vacantes por área de conoci (2'!$B$3:$B$23</c:f>
              <c:strCache>
                <c:ptCount val="21"/>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Liderazgo, trabajo en equipo y organización</c:v>
                </c:pt>
                <c:pt idx="9">
                  <c:v>Sistemas de conocimiento compartido</c:v>
                </c:pt>
                <c:pt idx="10">
                  <c:v>Procesos comerciales</c:v>
                </c:pt>
                <c:pt idx="11">
                  <c:v>Recursos y responsabilidad</c:v>
                </c:pt>
                <c:pt idx="12">
                  <c:v>Gestión estratégica</c:v>
                </c:pt>
                <c:pt idx="13">
                  <c:v>Gestión de recursos humanos</c:v>
                </c:pt>
                <c:pt idx="14">
                  <c:v>Gestión de proyectos</c:v>
                </c:pt>
                <c:pt idx="15">
                  <c:v>Gestión del desempeño a nivel organizacional</c:v>
                </c:pt>
                <c:pt idx="16">
                  <c:v>Seguridad</c:v>
                </c:pt>
                <c:pt idx="17">
                  <c:v>Ingeniería de la información</c:v>
                </c:pt>
                <c:pt idx="18">
                  <c:v>Ingeniería de diseño y fabricación</c:v>
                </c:pt>
                <c:pt idx="19">
                  <c:v>Diseño y desarrollo de productos</c:v>
                </c:pt>
                <c:pt idx="20">
                  <c:v>Diseño e ingeniería de sistemas</c:v>
                </c:pt>
              </c:strCache>
            </c:strRef>
          </c:cat>
          <c:val>
            <c:numRef>
              <c:f>'Vacantes por área de conoci (2'!$L$3:$L$23</c:f>
              <c:numCache>
                <c:formatCode>General</c:formatCode>
                <c:ptCount val="21"/>
                <c:pt idx="0">
                  <c:v>0</c:v>
                </c:pt>
                <c:pt idx="1">
                  <c:v>0</c:v>
                </c:pt>
                <c:pt idx="2">
                  <c:v>3017</c:v>
                </c:pt>
                <c:pt idx="3">
                  <c:v>2448</c:v>
                </c:pt>
                <c:pt idx="4">
                  <c:v>4863</c:v>
                </c:pt>
                <c:pt idx="5">
                  <c:v>0</c:v>
                </c:pt>
                <c:pt idx="6">
                  <c:v>13082</c:v>
                </c:pt>
                <c:pt idx="7">
                  <c:v>968</c:v>
                </c:pt>
                <c:pt idx="8">
                  <c:v>558</c:v>
                </c:pt>
                <c:pt idx="9">
                  <c:v>0</c:v>
                </c:pt>
                <c:pt idx="10">
                  <c:v>15621</c:v>
                </c:pt>
                <c:pt idx="11">
                  <c:v>0</c:v>
                </c:pt>
                <c:pt idx="12">
                  <c:v>11430</c:v>
                </c:pt>
                <c:pt idx="13">
                  <c:v>7169</c:v>
                </c:pt>
                <c:pt idx="14">
                  <c:v>0</c:v>
                </c:pt>
                <c:pt idx="15">
                  <c:v>0</c:v>
                </c:pt>
                <c:pt idx="16">
                  <c:v>1002</c:v>
                </c:pt>
                <c:pt idx="17">
                  <c:v>13409</c:v>
                </c:pt>
                <c:pt idx="18">
                  <c:v>0</c:v>
                </c:pt>
                <c:pt idx="19">
                  <c:v>268</c:v>
                </c:pt>
                <c:pt idx="20">
                  <c:v>0</c:v>
                </c:pt>
              </c:numCache>
            </c:numRef>
          </c:val>
          <c:extLst>
            <c:ext xmlns:c16="http://schemas.microsoft.com/office/drawing/2014/chart" uri="{C3380CC4-5D6E-409C-BE32-E72D297353CC}">
              <c16:uniqueId val="{00000009-B6A0-4042-A479-35B0D48B49C1}"/>
            </c:ext>
          </c:extLst>
        </c:ser>
        <c:dLbls>
          <c:showLegendKey val="0"/>
          <c:showVal val="0"/>
          <c:showCatName val="0"/>
          <c:showSerName val="0"/>
          <c:showPercent val="0"/>
          <c:showBubbleSize val="0"/>
        </c:dLbls>
        <c:gapWidth val="75"/>
        <c:overlap val="-25"/>
        <c:axId val="2045690768"/>
        <c:axId val="2045696176"/>
      </c:barChart>
      <c:catAx>
        <c:axId val="2045690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45696176"/>
        <c:crosses val="autoZero"/>
        <c:auto val="1"/>
        <c:lblAlgn val="ctr"/>
        <c:lblOffset val="100"/>
        <c:noMultiLvlLbl val="0"/>
      </c:catAx>
      <c:valAx>
        <c:axId val="2045696176"/>
        <c:scaling>
          <c:orientation val="minMax"/>
          <c:max val="180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45690768"/>
        <c:crosses val="autoZero"/>
        <c:crossBetween val="between"/>
        <c:majorUnit val="2000"/>
      </c:valAx>
      <c:spPr>
        <a:noFill/>
        <a:ln>
          <a:noFill/>
        </a:ln>
        <a:effectLst/>
      </c:spPr>
    </c:plotArea>
    <c:legend>
      <c:legendPos val="b"/>
      <c:layout>
        <c:manualLayout>
          <c:xMode val="edge"/>
          <c:yMode val="edge"/>
          <c:x val="0.11580153442358167"/>
          <c:y val="0.94718749602132446"/>
          <c:w val="0.76839693115283669"/>
          <c:h val="3.5173227189023833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'Comparación %'!$C$1</c:f>
              <c:strCache>
                <c:ptCount val="1"/>
                <c:pt idx="0">
                  <c:v>Funciones
USA</c:v>
                </c:pt>
              </c:strCache>
              <c:extLst xmlns:c15="http://schemas.microsoft.com/office/drawing/2012/chart"/>
            </c:strRef>
          </c:tx>
          <c:spPr>
            <a:solidFill>
              <a:schemeClr val="accent1"/>
            </a:solidFill>
            <a:ln>
              <a:noFill/>
            </a:ln>
            <a:effectLst/>
          </c:spPr>
          <c:invertIfNegative val="0"/>
          <c:cat>
            <c:strRef>
              <c:f>'Comparación %'!$B$2:$B$23</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extLst xmlns:c15="http://schemas.microsoft.com/office/drawing/2012/chart"/>
            </c:strRef>
          </c:cat>
          <c:val>
            <c:numRef>
              <c:f>'Comparación %'!$C$2:$C$23</c:f>
              <c:numCache>
                <c:formatCode>0%</c:formatCode>
                <c:ptCount val="22"/>
                <c:pt idx="0">
                  <c:v>3.6205648081100656E-3</c:v>
                </c:pt>
                <c:pt idx="1">
                  <c:v>7.2411296162201311E-3</c:v>
                </c:pt>
                <c:pt idx="2">
                  <c:v>0.20492396813902972</c:v>
                </c:pt>
                <c:pt idx="3">
                  <c:v>1.0861694424330198E-2</c:v>
                </c:pt>
                <c:pt idx="4">
                  <c:v>3.6929761042722671E-2</c:v>
                </c:pt>
                <c:pt idx="5">
                  <c:v>1.0137581462708184E-2</c:v>
                </c:pt>
                <c:pt idx="6">
                  <c:v>0.11368573497465606</c:v>
                </c:pt>
                <c:pt idx="7">
                  <c:v>9.413468501086171E-2</c:v>
                </c:pt>
                <c:pt idx="8">
                  <c:v>8.8341781317885601E-2</c:v>
                </c:pt>
                <c:pt idx="9">
                  <c:v>8.9790007241129635E-2</c:v>
                </c:pt>
                <c:pt idx="10">
                  <c:v>0</c:v>
                </c:pt>
                <c:pt idx="11">
                  <c:v>7.3135409123823325E-2</c:v>
                </c:pt>
                <c:pt idx="12">
                  <c:v>2.1723388848660396E-3</c:v>
                </c:pt>
                <c:pt idx="13">
                  <c:v>2.534395365677046E-2</c:v>
                </c:pt>
                <c:pt idx="14">
                  <c:v>0.12092686459087619</c:v>
                </c:pt>
                <c:pt idx="15">
                  <c:v>1.810282404055033E-2</c:v>
                </c:pt>
                <c:pt idx="16">
                  <c:v>1.810282404055033E-2</c:v>
                </c:pt>
                <c:pt idx="17">
                  <c:v>4.7791455467052865E-2</c:v>
                </c:pt>
                <c:pt idx="18">
                  <c:v>2.9688631426502538E-2</c:v>
                </c:pt>
                <c:pt idx="19">
                  <c:v>1.4482259232440262E-3</c:v>
                </c:pt>
                <c:pt idx="20">
                  <c:v>2.8964518464880524E-3</c:v>
                </c:pt>
                <c:pt idx="21">
                  <c:v>7.2411296162201309E-4</c:v>
                </c:pt>
              </c:numCache>
              <c:extLst xmlns:c15="http://schemas.microsoft.com/office/drawing/2012/chart"/>
            </c:numRef>
          </c:val>
          <c:extLst xmlns:c15="http://schemas.microsoft.com/office/drawing/2012/chart">
            <c:ext xmlns:c16="http://schemas.microsoft.com/office/drawing/2014/chart" uri="{C3380CC4-5D6E-409C-BE32-E72D297353CC}">
              <c16:uniqueId val="{00000000-7CD6-41F8-8681-466435D445B9}"/>
            </c:ext>
          </c:extLst>
        </c:ser>
        <c:ser>
          <c:idx val="1"/>
          <c:order val="1"/>
          <c:tx>
            <c:strRef>
              <c:f>'Comparación %'!$D$1</c:f>
              <c:strCache>
                <c:ptCount val="1"/>
                <c:pt idx="0">
                  <c:v>Funciones
Colombia</c:v>
                </c:pt>
              </c:strCache>
            </c:strRef>
          </c:tx>
          <c:spPr>
            <a:solidFill>
              <a:schemeClr val="accent3"/>
            </a:solidFill>
            <a:ln>
              <a:noFill/>
            </a:ln>
            <a:effectLst/>
          </c:spPr>
          <c:invertIfNegative val="0"/>
          <c:cat>
            <c:strRef>
              <c:f>'Comparación %'!$B$2:$B$23</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'Comparación %'!$D$2:$D$23</c:f>
              <c:numCache>
                <c:formatCode>0%</c:formatCode>
                <c:ptCount val="22"/>
                <c:pt idx="0">
                  <c:v>5.8072009291521487E-3</c:v>
                </c:pt>
                <c:pt idx="1">
                  <c:v>3.4843205574912892E-3</c:v>
                </c:pt>
                <c:pt idx="2">
                  <c:v>9.8722415795586521E-2</c:v>
                </c:pt>
                <c:pt idx="3">
                  <c:v>1.0452961672473868E-2</c:v>
                </c:pt>
                <c:pt idx="4">
                  <c:v>8.5946573751451802E-2</c:v>
                </c:pt>
                <c:pt idx="5">
                  <c:v>1.1614401858304297E-3</c:v>
                </c:pt>
                <c:pt idx="6">
                  <c:v>0.26248548199767713</c:v>
                </c:pt>
                <c:pt idx="7">
                  <c:v>4.5296167247386762E-2</c:v>
                </c:pt>
                <c:pt idx="8">
                  <c:v>5.3426248548199766E-2</c:v>
                </c:pt>
                <c:pt idx="9">
                  <c:v>4.4134727061556328E-2</c:v>
                </c:pt>
                <c:pt idx="10">
                  <c:v>0</c:v>
                </c:pt>
                <c:pt idx="11">
                  <c:v>2.4390243902439025E-2</c:v>
                </c:pt>
                <c:pt idx="12">
                  <c:v>5.8072009291521487E-3</c:v>
                </c:pt>
                <c:pt idx="13">
                  <c:v>0.10452961672473868</c:v>
                </c:pt>
                <c:pt idx="14">
                  <c:v>0.15214866434378629</c:v>
                </c:pt>
                <c:pt idx="15">
                  <c:v>1.1614401858304297E-2</c:v>
                </c:pt>
                <c:pt idx="16">
                  <c:v>3.3681765389082463E-2</c:v>
                </c:pt>
                <c:pt idx="17">
                  <c:v>4.065040650406504E-2</c:v>
                </c:pt>
                <c:pt idx="18">
                  <c:v>8.130081300813009E-3</c:v>
                </c:pt>
                <c:pt idx="19">
                  <c:v>1.1614401858304297E-3</c:v>
                </c:pt>
                <c:pt idx="20">
                  <c:v>6.9686411149825784E-3</c:v>
                </c:pt>
                <c:pt idx="21">
                  <c:v>0</c:v>
                </c:pt>
              </c:numCache>
            </c:numRef>
          </c:val>
          <c:extLst>
            <c:ext xmlns:c16="http://schemas.microsoft.com/office/drawing/2014/chart" uri="{C3380CC4-5D6E-409C-BE32-E72D297353CC}">
              <c16:uniqueId val="{00000001-7CD6-41F8-8681-466435D445B9}"/>
            </c:ext>
          </c:extLst>
        </c:ser>
        <c:ser>
          <c:idx val="2"/>
          <c:order val="2"/>
          <c:tx>
            <c:strRef>
              <c:f>'Comparación %'!$E$1</c:f>
              <c:strCache>
                <c:ptCount val="1"/>
                <c:pt idx="0">
                  <c:v>Ocupaciones
USA</c:v>
                </c:pt>
              </c:strCache>
              <c:extLst xmlns:c15="http://schemas.microsoft.com/office/drawing/2012/chart"/>
            </c:strRef>
          </c:tx>
          <c:spPr>
            <a:solidFill>
              <a:schemeClr val="accent5"/>
            </a:solidFill>
            <a:ln>
              <a:noFill/>
            </a:ln>
            <a:effectLst/>
          </c:spPr>
          <c:invertIfNegative val="0"/>
          <c:cat>
            <c:strRef>
              <c:f>'Comparación %'!$B$2:$B$23</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extLst xmlns:c15="http://schemas.microsoft.com/office/drawing/2012/chart"/>
            </c:strRef>
          </c:cat>
          <c:val>
            <c:numRef>
              <c:f>'Comparación %'!$E$2:$E$23</c:f>
              <c:numCache>
                <c:formatCode>0%</c:formatCode>
                <c:ptCount val="22"/>
                <c:pt idx="0">
                  <c:v>0</c:v>
                </c:pt>
                <c:pt idx="1">
                  <c:v>1.3888888888888892E-2</c:v>
                </c:pt>
                <c:pt idx="2">
                  <c:v>0.25000000000000006</c:v>
                </c:pt>
                <c:pt idx="3">
                  <c:v>0</c:v>
                </c:pt>
                <c:pt idx="4">
                  <c:v>4.1666666666666671E-2</c:v>
                </c:pt>
                <c:pt idx="5">
                  <c:v>1.3888888888888892E-2</c:v>
                </c:pt>
                <c:pt idx="6">
                  <c:v>0.15277777777777782</c:v>
                </c:pt>
                <c:pt idx="7">
                  <c:v>0.12500000000000003</c:v>
                </c:pt>
                <c:pt idx="8">
                  <c:v>0.12500000000000003</c:v>
                </c:pt>
                <c:pt idx="9">
                  <c:v>2.7777777777777783E-2</c:v>
                </c:pt>
                <c:pt idx="10">
                  <c:v>0</c:v>
                </c:pt>
                <c:pt idx="11">
                  <c:v>2.7777777777777783E-2</c:v>
                </c:pt>
                <c:pt idx="12">
                  <c:v>0</c:v>
                </c:pt>
                <c:pt idx="13">
                  <c:v>0</c:v>
                </c:pt>
                <c:pt idx="14">
                  <c:v>0.11111111111111113</c:v>
                </c:pt>
                <c:pt idx="15">
                  <c:v>2.7777777777777783E-2</c:v>
                </c:pt>
                <c:pt idx="16">
                  <c:v>1.3888888888888892E-2</c:v>
                </c:pt>
                <c:pt idx="17">
                  <c:v>6.9444444444444461E-2</c:v>
                </c:pt>
                <c:pt idx="18">
                  <c:v>0</c:v>
                </c:pt>
                <c:pt idx="19">
                  <c:v>0</c:v>
                </c:pt>
                <c:pt idx="20">
                  <c:v>0</c:v>
                </c:pt>
                <c:pt idx="21">
                  <c:v>0</c:v>
                </c:pt>
              </c:numCache>
              <c:extLst xmlns:c15="http://schemas.microsoft.com/office/drawing/2012/chart"/>
            </c:numRef>
          </c:val>
          <c:extLst xmlns:c15="http://schemas.microsoft.com/office/drawing/2012/chart">
            <c:ext xmlns:c16="http://schemas.microsoft.com/office/drawing/2014/chart" uri="{C3380CC4-5D6E-409C-BE32-E72D297353CC}">
              <c16:uniqueId val="{00000002-7CD6-41F8-8681-466435D445B9}"/>
            </c:ext>
          </c:extLst>
        </c:ser>
        <c:ser>
          <c:idx val="3"/>
          <c:order val="3"/>
          <c:tx>
            <c:strRef>
              <c:f>'Comparación %'!$F$1</c:f>
              <c:strCache>
                <c:ptCount val="1"/>
                <c:pt idx="0">
                  <c:v>Ocupaciones
Colombia</c:v>
                </c:pt>
              </c:strCache>
            </c:strRef>
          </c:tx>
          <c:spPr>
            <a:solidFill>
              <a:schemeClr val="accent1">
                <a:lumMod val="60000"/>
              </a:schemeClr>
            </a:solidFill>
            <a:ln>
              <a:noFill/>
            </a:ln>
            <a:effectLst/>
          </c:spPr>
          <c:invertIfNegative val="0"/>
          <c:cat>
            <c:strRef>
              <c:f>'Comparación %'!$B$2:$B$23</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'Comparación %'!$F$2:$F$23</c:f>
              <c:numCache>
                <c:formatCode>0%</c:formatCode>
                <c:ptCount val="22"/>
                <c:pt idx="0">
                  <c:v>5.8072009291521487E-3</c:v>
                </c:pt>
                <c:pt idx="1">
                  <c:v>3.4843205574912892E-3</c:v>
                </c:pt>
                <c:pt idx="2">
                  <c:v>9.8722415795586521E-2</c:v>
                </c:pt>
                <c:pt idx="3">
                  <c:v>1.0452961672473868E-2</c:v>
                </c:pt>
                <c:pt idx="4">
                  <c:v>8.5946573751451802E-2</c:v>
                </c:pt>
                <c:pt idx="5">
                  <c:v>1.1614401858304297E-3</c:v>
                </c:pt>
                <c:pt idx="6">
                  <c:v>0.26248548199767713</c:v>
                </c:pt>
                <c:pt idx="7">
                  <c:v>4.5296167247386762E-2</c:v>
                </c:pt>
                <c:pt idx="8">
                  <c:v>5.3426248548199766E-2</c:v>
                </c:pt>
                <c:pt idx="9">
                  <c:v>4.4134727061556328E-2</c:v>
                </c:pt>
                <c:pt idx="10">
                  <c:v>0</c:v>
                </c:pt>
                <c:pt idx="11">
                  <c:v>2.4390243902439025E-2</c:v>
                </c:pt>
                <c:pt idx="12">
                  <c:v>5.8072009291521487E-3</c:v>
                </c:pt>
                <c:pt idx="13">
                  <c:v>0.10452961672473868</c:v>
                </c:pt>
                <c:pt idx="14">
                  <c:v>0.15214866434378629</c:v>
                </c:pt>
                <c:pt idx="15">
                  <c:v>1.1614401858304297E-2</c:v>
                </c:pt>
                <c:pt idx="16">
                  <c:v>3.3681765389082463E-2</c:v>
                </c:pt>
                <c:pt idx="17">
                  <c:v>4.065040650406504E-2</c:v>
                </c:pt>
                <c:pt idx="18">
                  <c:v>8.130081300813009E-3</c:v>
                </c:pt>
                <c:pt idx="19">
                  <c:v>1.1614401858304297E-3</c:v>
                </c:pt>
                <c:pt idx="20">
                  <c:v>6.9686411149825784E-3</c:v>
                </c:pt>
                <c:pt idx="21">
                  <c:v>0</c:v>
                </c:pt>
              </c:numCache>
            </c:numRef>
          </c:val>
          <c:extLst>
            <c:ext xmlns:c16="http://schemas.microsoft.com/office/drawing/2014/chart" uri="{C3380CC4-5D6E-409C-BE32-E72D297353CC}">
              <c16:uniqueId val="{00000003-7CD6-41F8-8681-466435D445B9}"/>
            </c:ext>
          </c:extLst>
        </c:ser>
        <c:ser>
          <c:idx val="4"/>
          <c:order val="4"/>
          <c:tx>
            <c:strRef>
              <c:f>'Comparación %'!$G$1</c:f>
              <c:strCache>
                <c:ptCount val="1"/>
                <c:pt idx="0">
                  <c:v>Ofertas laborales
Colombia</c:v>
                </c:pt>
              </c:strCache>
            </c:strRef>
          </c:tx>
          <c:spPr>
            <a:solidFill>
              <a:schemeClr val="accent3">
                <a:lumMod val="60000"/>
              </a:schemeClr>
            </a:solidFill>
            <a:ln>
              <a:noFill/>
            </a:ln>
            <a:effectLst/>
          </c:spPr>
          <c:invertIfNegative val="0"/>
          <c:cat>
            <c:strRef>
              <c:f>'Comparación %'!$B$2:$B$23</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'Comparación %'!$G$2:$G$23</c:f>
              <c:numCache>
                <c:formatCode>0%</c:formatCode>
                <c:ptCount val="22"/>
                <c:pt idx="0">
                  <c:v>0</c:v>
                </c:pt>
                <c:pt idx="1">
                  <c:v>0</c:v>
                </c:pt>
                <c:pt idx="2">
                  <c:v>3.114482115756291E-2</c:v>
                </c:pt>
                <c:pt idx="3">
                  <c:v>1.4989814717125073E-2</c:v>
                </c:pt>
                <c:pt idx="4">
                  <c:v>1.9824490822810861E-2</c:v>
                </c:pt>
                <c:pt idx="5">
                  <c:v>0</c:v>
                </c:pt>
                <c:pt idx="6">
                  <c:v>0.10172065774782933</c:v>
                </c:pt>
                <c:pt idx="7">
                  <c:v>4.2688914678980982E-3</c:v>
                </c:pt>
                <c:pt idx="8">
                  <c:v>0.48895386652352008</c:v>
                </c:pt>
                <c:pt idx="9">
                  <c:v>5.8792907750437971E-3</c:v>
                </c:pt>
                <c:pt idx="10">
                  <c:v>0</c:v>
                </c:pt>
                <c:pt idx="11">
                  <c:v>5.8098430295448575E-2</c:v>
                </c:pt>
                <c:pt idx="12">
                  <c:v>0</c:v>
                </c:pt>
                <c:pt idx="13">
                  <c:v>8.3959889579244051E-2</c:v>
                </c:pt>
                <c:pt idx="14">
                  <c:v>6.5479137271178961E-2</c:v>
                </c:pt>
                <c:pt idx="15">
                  <c:v>0</c:v>
                </c:pt>
                <c:pt idx="16">
                  <c:v>0</c:v>
                </c:pt>
                <c:pt idx="17">
                  <c:v>2.4446997689326264E-2</c:v>
                </c:pt>
                <c:pt idx="18">
                  <c:v>9.7747411941070284E-2</c:v>
                </c:pt>
                <c:pt idx="19">
                  <c:v>0</c:v>
                </c:pt>
                <c:pt idx="20">
                  <c:v>3.4863000119417661E-3</c:v>
                </c:pt>
                <c:pt idx="21">
                  <c:v>0</c:v>
                </c:pt>
              </c:numCache>
            </c:numRef>
          </c:val>
          <c:extLst>
            <c:ext xmlns:c16="http://schemas.microsoft.com/office/drawing/2014/chart" uri="{C3380CC4-5D6E-409C-BE32-E72D297353CC}">
              <c16:uniqueId val="{00000004-7CD6-41F8-8681-466435D445B9}"/>
            </c:ext>
          </c:extLst>
        </c:ser>
        <c:ser>
          <c:idx val="5"/>
          <c:order val="5"/>
          <c:tx>
            <c:strRef>
              <c:f>'Comparación %'!$H$1</c:f>
              <c:strCache>
                <c:ptCount val="1"/>
                <c:pt idx="0">
                  <c:v>Asignaturas</c:v>
                </c:pt>
              </c:strCache>
            </c:strRef>
          </c:tx>
          <c:spPr>
            <a:solidFill>
              <a:schemeClr val="accent5">
                <a:lumMod val="60000"/>
              </a:schemeClr>
            </a:solidFill>
            <a:ln>
              <a:noFill/>
            </a:ln>
            <a:effectLst/>
          </c:spPr>
          <c:invertIfNegative val="0"/>
          <c:cat>
            <c:strRef>
              <c:f>'Comparación %'!$B$2:$B$23</c:f>
              <c:strCache>
                <c:ptCount val="22"/>
                <c:pt idx="0">
                  <c:v>Diseño y medición del trabajo</c:v>
                </c:pt>
                <c:pt idx="1">
                  <c:v>Investigación y análisis de operaciones</c:v>
                </c:pt>
                <c:pt idx="2">
                  <c:v>Análisis económico de ingeniería</c:v>
                </c:pt>
                <c:pt idx="3">
                  <c:v>Ingeniería de instalaciones y gestión energética</c:v>
                </c:pt>
                <c:pt idx="4">
                  <c:v>Ingeniería de calidad y confiabilidad</c:v>
                </c:pt>
                <c:pt idx="5">
                  <c:v>Ergonomía y factores humanos</c:v>
                </c:pt>
                <c:pt idx="6">
                  <c:v>Ingeniería y gestión de operaciones</c:v>
                </c:pt>
                <c:pt idx="7">
                  <c:v>Gestión de la cadena de suministro</c:v>
                </c:pt>
                <c:pt idx="8">
                  <c:v>Enfoque al cliente</c:v>
                </c:pt>
                <c:pt idx="9">
                  <c:v>Liderazgo, trabajo en equipo y organización</c:v>
                </c:pt>
                <c:pt idx="10">
                  <c:v>Sistemas de conocimiento compartido</c:v>
                </c:pt>
                <c:pt idx="11">
                  <c:v>Procesos comerciales</c:v>
                </c:pt>
                <c:pt idx="12">
                  <c:v>Recursos y responsabilidad</c:v>
                </c:pt>
                <c:pt idx="13">
                  <c:v>Gestión estratégica</c:v>
                </c:pt>
                <c:pt idx="14">
                  <c:v>Gestión de recursos humanos</c:v>
                </c:pt>
                <c:pt idx="15">
                  <c:v>Gestión de proyectos</c:v>
                </c:pt>
                <c:pt idx="16">
                  <c:v>Gestión del desempeño a nivel organizacional</c:v>
                </c:pt>
                <c:pt idx="17">
                  <c:v>Seguridad</c:v>
                </c:pt>
                <c:pt idx="18">
                  <c:v>Ingeniería de la información</c:v>
                </c:pt>
                <c:pt idx="19">
                  <c:v>Ingeniería de diseño y fabricación</c:v>
                </c:pt>
                <c:pt idx="20">
                  <c:v>Diseño y desarrollo de productos</c:v>
                </c:pt>
                <c:pt idx="21">
                  <c:v>Diseño e ingeniería de sistemas</c:v>
                </c:pt>
              </c:strCache>
            </c:strRef>
          </c:cat>
          <c:val>
            <c:numRef>
              <c:f>'Comparación %'!$H$2:$H$23</c:f>
              <c:numCache>
                <c:formatCode>0%</c:formatCode>
                <c:ptCount val="22"/>
                <c:pt idx="0">
                  <c:v>0</c:v>
                </c:pt>
                <c:pt idx="1">
                  <c:v>7.6923076923076927E-2</c:v>
                </c:pt>
                <c:pt idx="2">
                  <c:v>0.19230769230769232</c:v>
                </c:pt>
                <c:pt idx="3">
                  <c:v>3.8461538461538464E-2</c:v>
                </c:pt>
                <c:pt idx="4">
                  <c:v>0.15384615384615385</c:v>
                </c:pt>
                <c:pt idx="5">
                  <c:v>0</c:v>
                </c:pt>
                <c:pt idx="6">
                  <c:v>7.6923076923076927E-2</c:v>
                </c:pt>
                <c:pt idx="7">
                  <c:v>3.8461538461538464E-2</c:v>
                </c:pt>
                <c:pt idx="8">
                  <c:v>7.6923076923076927E-2</c:v>
                </c:pt>
                <c:pt idx="9">
                  <c:v>7.6923076923076927E-2</c:v>
                </c:pt>
                <c:pt idx="10">
                  <c:v>0</c:v>
                </c:pt>
                <c:pt idx="11">
                  <c:v>0</c:v>
                </c:pt>
                <c:pt idx="12">
                  <c:v>0</c:v>
                </c:pt>
                <c:pt idx="13">
                  <c:v>3.8461538461538464E-2</c:v>
                </c:pt>
                <c:pt idx="14">
                  <c:v>3.8461538461538464E-2</c:v>
                </c:pt>
                <c:pt idx="15">
                  <c:v>3.8461538461538464E-2</c:v>
                </c:pt>
                <c:pt idx="16">
                  <c:v>0</c:v>
                </c:pt>
                <c:pt idx="17">
                  <c:v>3.8461538461538464E-2</c:v>
                </c:pt>
                <c:pt idx="18">
                  <c:v>3.8461538461538464E-2</c:v>
                </c:pt>
                <c:pt idx="19">
                  <c:v>7.6923076923076927E-2</c:v>
                </c:pt>
                <c:pt idx="20">
                  <c:v>0</c:v>
                </c:pt>
                <c:pt idx="21">
                  <c:v>0</c:v>
                </c:pt>
              </c:numCache>
            </c:numRef>
          </c:val>
          <c:extLst>
            <c:ext xmlns:c16="http://schemas.microsoft.com/office/drawing/2014/chart" uri="{C3380CC4-5D6E-409C-BE32-E72D297353CC}">
              <c16:uniqueId val="{00000005-7CD6-41F8-8681-466435D445B9}"/>
            </c:ext>
          </c:extLst>
        </c:ser>
        <c:dLbls>
          <c:showLegendKey val="0"/>
          <c:showVal val="0"/>
          <c:showCatName val="0"/>
          <c:showSerName val="0"/>
          <c:showPercent val="0"/>
          <c:showBubbleSize val="0"/>
        </c:dLbls>
        <c:gapWidth val="75"/>
        <c:overlap val="100"/>
        <c:axId val="509609328"/>
        <c:axId val="509607248"/>
        <c:extLst/>
      </c:barChart>
      <c:catAx>
        <c:axId val="5096093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09607248"/>
        <c:crosses val="autoZero"/>
        <c:auto val="1"/>
        <c:lblAlgn val="ctr"/>
        <c:lblOffset val="100"/>
        <c:noMultiLvlLbl val="0"/>
      </c:catAx>
      <c:valAx>
        <c:axId val="509607248"/>
        <c:scaling>
          <c:orientation val="minMax"/>
          <c:max val="1"/>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09609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PARETOS!$B$3:$B$24</cx:f>
        <cx:lvl ptCount="22">
          <cx:pt idx="0">Diseño y medición del trabajo</cx:pt>
          <cx:pt idx="1">Investigación y análisis de operaciones</cx:pt>
          <cx:pt idx="2">Análisis económico de ingeniería</cx:pt>
          <cx:pt idx="3">Ingeniería de instalaciones y gestión energética</cx:pt>
          <cx:pt idx="4">Ingeniería de calidad y confiabilidad</cx:pt>
          <cx:pt idx="5">Ergonomía y factores humanos</cx:pt>
          <cx:pt idx="6">Ingeniería y gestión de operaciones</cx:pt>
          <cx:pt idx="7">Gestión de la cadena de suministro</cx:pt>
          <cx:pt idx="8">Enfoque al cliente</cx:pt>
          <cx:pt idx="9">Liderazgo, trabajo en equipo y organización</cx:pt>
          <cx:pt idx="10">Sistemas de conocimiento compartido</cx:pt>
          <cx:pt idx="11">Procesos comerciales</cx:pt>
          <cx:pt idx="12">Recursos y responsabilidad</cx:pt>
          <cx:pt idx="13">Gestión estratégica</cx:pt>
          <cx:pt idx="14">Gestión de recursos humanos</cx:pt>
          <cx:pt idx="15">Gestión de proyectos</cx:pt>
          <cx:pt idx="16">Gestión del desempeño a nivel organizacional</cx:pt>
          <cx:pt idx="17">Seguridad</cx:pt>
          <cx:pt idx="18">Ingeniería de la información</cx:pt>
          <cx:pt idx="19">Ingeniería de diseño y fabricación</cx:pt>
          <cx:pt idx="20">Diseño y desarrollo de productos</cx:pt>
          <cx:pt idx="21">Diseño e ingeniería de sistemas</cx:pt>
        </cx:lvl>
      </cx:strDim>
      <cx:numDim type="val">
        <cx:f>PARETOS!$C$3:$C$24</cx:f>
        <cx:lvl ptCount="22" formatCode="General">
          <cx:pt idx="0">5</cx:pt>
          <cx:pt idx="1">3</cx:pt>
          <cx:pt idx="2">85</cx:pt>
          <cx:pt idx="3">9</cx:pt>
          <cx:pt idx="4">74</cx:pt>
          <cx:pt idx="5">1</cx:pt>
          <cx:pt idx="6">226</cx:pt>
          <cx:pt idx="7">39</cx:pt>
          <cx:pt idx="8">46</cx:pt>
          <cx:pt idx="9">38</cx:pt>
          <cx:pt idx="10">0</cx:pt>
          <cx:pt idx="11">21</cx:pt>
          <cx:pt idx="12">5</cx:pt>
          <cx:pt idx="13">90</cx:pt>
          <cx:pt idx="14">131</cx:pt>
          <cx:pt idx="15">10</cx:pt>
          <cx:pt idx="16">29</cx:pt>
          <cx:pt idx="17">35</cx:pt>
          <cx:pt idx="18">7</cx:pt>
          <cx:pt idx="19">1</cx:pt>
          <cx:pt idx="20">6</cx:pt>
          <cx:pt idx="21">0</cx:pt>
        </cx:lvl>
      </cx:numDim>
    </cx:data>
  </cx:chartData>
  <cx:chart>
    <cx:plotArea>
      <cx:plotAreaRegion>
        <cx:series layoutId="clusteredColumn" uniqueId="{B8C32A9F-D8F4-461D-952D-44BDB19F69E1}">
          <cx:dataId val="0"/>
          <cx:layoutPr>
            <cx:aggregation/>
          </cx:layoutPr>
          <cx:axisId val="1"/>
        </cx:series>
        <cx:series layoutId="paretoLine" ownerIdx="0" uniqueId="{79F1F789-032B-45DC-BAA0-98B11962B994}">
          <cx:axisId val="2"/>
        </cx:series>
      </cx:plotAreaRegion>
      <cx:axis id="0">
        <cx:catScaling gapWidth="0"/>
        <cx:tickLabels/>
        <cx:txPr>
          <a:bodyPr spcFirstLastPara="1" vertOverflow="ellipsis" wrap="square" lIns="0" tIns="0" rIns="0" bIns="0" anchor="ctr" anchorCtr="1"/>
          <a:lstStyle/>
          <a:p>
            <a:pPr>
              <a:defRPr lang="es-ES" sz="800" b="0" i="0" u="none" strike="noStrike" kern="1200" baseline="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800">
              <a:solidFill>
                <a:sysClr val="windowText" lastClr="000000"/>
              </a:solidFill>
              <a:latin typeface="Times New Roman" panose="02020603050405020304" pitchFamily="18" charset="0"/>
              <a:cs typeface="Times New Roman" panose="02020603050405020304" pitchFamily="18" charset="0"/>
            </a:endParaRPr>
          </a:p>
        </cx:txPr>
      </cx:axis>
      <cx:axis id="1">
        <cx:valScaling/>
        <cx:majorGridlines/>
        <cx:tickLabels/>
        <cx:txPr>
          <a:bodyPr spcFirstLastPara="1" vertOverflow="ellipsis" wrap="square" lIns="0" tIns="0" rIns="0" bIns="0" anchor="ctr" anchorCtr="1"/>
          <a:lstStyle/>
          <a:p>
            <a:pPr>
              <a:defRPr lang="es-ES" sz="1000" b="0" i="0" u="none" strike="noStrike" kern="1200" baseline="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solidFill>
                <a:sysClr val="windowText" lastClr="000000"/>
              </a:solidFill>
              <a:latin typeface="Times New Roman" panose="02020603050405020304" pitchFamily="18" charset="0"/>
              <a:cs typeface="Times New Roman" panose="02020603050405020304" pitchFamily="18" charset="0"/>
            </a:endParaRPr>
          </a:p>
        </cx:txPr>
      </cx:axis>
      <cx:axis id="2">
        <cx:valScaling max="1" min="0"/>
        <cx:units unit="percentage"/>
        <cx:tickLabels/>
        <cx:txPr>
          <a:bodyPr spcFirstLastPara="1" vertOverflow="ellipsis" wrap="square" lIns="0" tIns="0" rIns="0" bIns="0" anchor="ctr" anchorCtr="1"/>
          <a:lstStyle/>
          <a:p>
            <a:pPr>
              <a:defRPr lang="es-ES" sz="1000" b="0" i="0" u="none" strike="noStrike" kern="1200" baseline="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solidFill>
                <a:sysClr val="windowText" lastClr="000000"/>
              </a:solidFill>
              <a:latin typeface="Times New Roman" panose="02020603050405020304" pitchFamily="18" charset="0"/>
              <a:cs typeface="Times New Roman" panose="02020603050405020304" pitchFamily="18" charset="0"/>
            </a:endParaRPr>
          </a:p>
        </cx:txPr>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'PARETO POR FUNCIONES '!$B$3:$B$24</cx:f>
        <cx:lvl ptCount="22">
          <cx:pt idx="0">Diseño y medición del trabajo</cx:pt>
          <cx:pt idx="1">Investigación y análisis de operaciones</cx:pt>
          <cx:pt idx="2">Análisis económico de ingeniería</cx:pt>
          <cx:pt idx="3">Ingeniería de instalaciones y gestión energética</cx:pt>
          <cx:pt idx="4">Ingeniería de calidad y confiabilidad</cx:pt>
          <cx:pt idx="5">Ergonomía y factores humanos</cx:pt>
          <cx:pt idx="6">Ingeniería y gestión de operaciones</cx:pt>
          <cx:pt idx="7">Gestión de la cadena de suministro</cx:pt>
          <cx:pt idx="8">Enfoque al cliente</cx:pt>
          <cx:pt idx="9">Liderazgo, trabajo en equipo y organización</cx:pt>
          <cx:pt idx="10">Sistemas de conocimiento compartido</cx:pt>
          <cx:pt idx="11">Procesos comerciales</cx:pt>
          <cx:pt idx="12">Recursos y responsabilidad</cx:pt>
          <cx:pt idx="13">Gestión estratégica</cx:pt>
          <cx:pt idx="14">Gestión de recursos humanos</cx:pt>
          <cx:pt idx="15">Gestión de proyectos</cx:pt>
          <cx:pt idx="16">Gestión del desempeño a nivel organizacional</cx:pt>
          <cx:pt idx="17">Seguridad</cx:pt>
          <cx:pt idx="18">Ingeniería de la información</cx:pt>
          <cx:pt idx="19">Ingeniería de diseño y fabricación</cx:pt>
          <cx:pt idx="20">Diseño y desarrollo de productos</cx:pt>
          <cx:pt idx="21">Diseño e ingeniería de sistemas</cx:pt>
        </cx:lvl>
      </cx:strDim>
      <cx:numDim type="val">
        <cx:f>'PARETO POR FUNCIONES '!$C$3:$C$24</cx:f>
        <cx:lvl ptCount="22" formatCode="General">
          <cx:pt idx="0">5</cx:pt>
          <cx:pt idx="1">10</cx:pt>
          <cx:pt idx="2">283</cx:pt>
          <cx:pt idx="3">15</cx:pt>
          <cx:pt idx="4">51</cx:pt>
          <cx:pt idx="5">14</cx:pt>
          <cx:pt idx="6">157</cx:pt>
          <cx:pt idx="7">130</cx:pt>
          <cx:pt idx="8">122</cx:pt>
          <cx:pt idx="9">124</cx:pt>
          <cx:pt idx="10">0</cx:pt>
          <cx:pt idx="11">101</cx:pt>
          <cx:pt idx="12">3</cx:pt>
          <cx:pt idx="13">35</cx:pt>
          <cx:pt idx="14">167</cx:pt>
          <cx:pt idx="15">25</cx:pt>
          <cx:pt idx="16">25</cx:pt>
          <cx:pt idx="17">66</cx:pt>
          <cx:pt idx="18">41</cx:pt>
          <cx:pt idx="19">2</cx:pt>
          <cx:pt idx="20">4</cx:pt>
          <cx:pt idx="21">1</cx:pt>
        </cx:lvl>
      </cx:numDim>
    </cx:data>
  </cx:chartData>
  <cx:chart>
    <cx:plotArea>
      <cx:plotAreaRegion>
        <cx:series layoutId="clusteredColumn" uniqueId="{B8C32A9F-D8F4-461D-952D-44BDB19F69E1}">
          <cx:dataId val="0"/>
          <cx:layoutPr>
            <cx:aggregation/>
          </cx:layoutPr>
          <cx:axisId val="1"/>
        </cx:series>
        <cx:series layoutId="paretoLine" ownerIdx="0" uniqueId="{79F1F789-032B-45DC-BAA0-98B11962B994}">
          <cx:axisId val="2"/>
        </cx:series>
      </cx:plotAreaRegion>
      <cx:axis id="0">
        <cx:catScaling gapWidth="0"/>
        <cx:tickLabels/>
        <cx:txPr>
          <a:bodyPr spcFirstLastPara="1" vertOverflow="ellipsis" wrap="square" lIns="0" tIns="0" rIns="0" bIns="0" anchor="ctr" anchorCtr="1"/>
          <a:lstStyle/>
          <a:p>
            <a:pPr>
              <a:defRPr lang="es-ES" sz="8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800">
              <a:latin typeface="Times New Roman" panose="02020603050405020304" pitchFamily="18" charset="0"/>
              <a:cs typeface="Times New Roman" panose="02020603050405020304" pitchFamily="18" charset="0"/>
            </a:endParaRPr>
          </a:p>
        </cx:txPr>
      </cx:axis>
      <cx:axis id="1">
        <cx:valScaling/>
        <cx:majorGridlines/>
        <cx:tickLabels/>
        <cx:txPr>
          <a:bodyPr spcFirstLastPara="1" vertOverflow="ellipsis" wrap="square" lIns="0" tIns="0" rIns="0" bIns="0" anchor="ctr" anchorCtr="1"/>
          <a:lstStyle/>
          <a:p>
            <a:pPr>
              <a:defRPr lang="es-ES" sz="10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axis id="2">
        <cx:valScaling max="1" min="0"/>
        <cx:units unit="percentage"/>
        <cx:tickLabels/>
        <cx:txPr>
          <a:bodyPr spcFirstLastPara="1" vertOverflow="ellipsis" wrap="square" lIns="0" tIns="0" rIns="0" bIns="0" anchor="ctr" anchorCtr="1"/>
          <a:lstStyle/>
          <a:p>
            <a:pPr>
              <a:defRPr lang="es-ES" sz="10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plotArea>
  </cx:chart>
  <cx:clrMapOvr bg1="lt1" tx1="dk1" bg2="lt2" tx2="dk2" accent1="accent1" accent2="accent2" accent3="accent3" accent4="accent4" accent5="accent5" accent6="accent6" hlink="hlink" folHlink="folHlink"/>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'PARETO POR OCUPACIONES '!$B$3:$B$24</cx:f>
        <cx:lvl ptCount="22">
          <cx:pt idx="0">Diseño y medición del trabajo</cx:pt>
          <cx:pt idx="1">Investigación y análisis de operaciones</cx:pt>
          <cx:pt idx="2">Análisis económico de ingeniería</cx:pt>
          <cx:pt idx="3">Ingeniería de instalaciones y gestión energética</cx:pt>
          <cx:pt idx="4">Ingeniería de calidad y confiabilidad</cx:pt>
          <cx:pt idx="5">Ergonomía y factores humanos</cx:pt>
          <cx:pt idx="6">Ingeniería y gestión de operaciones</cx:pt>
          <cx:pt idx="7">Gestión de la cadena de suministro</cx:pt>
          <cx:pt idx="8">Enfoque al cliente</cx:pt>
          <cx:pt idx="9">Liderazgo, trabajo en equipo y organización</cx:pt>
          <cx:pt idx="10">Sistemas de conocimiento compartido</cx:pt>
          <cx:pt idx="11">Procesos comerciales</cx:pt>
          <cx:pt idx="12">Recursos y responsabilidad</cx:pt>
          <cx:pt idx="13">Gestión estratégica</cx:pt>
          <cx:pt idx="14">Gestión de recursos humanos</cx:pt>
          <cx:pt idx="15">Gestión de proyectos</cx:pt>
          <cx:pt idx="16">Gestión del desempeño a nivel organizacional</cx:pt>
          <cx:pt idx="17">Seguridad</cx:pt>
          <cx:pt idx="18">Ingeniería de la información</cx:pt>
          <cx:pt idx="19">Ingeniería de diseño y fabricación</cx:pt>
          <cx:pt idx="20">Diseño y desarrollo de productos</cx:pt>
          <cx:pt idx="21">Diseño e ingeniería de sistemas</cx:pt>
        </cx:lvl>
      </cx:strDim>
      <cx:numDim type="val">
        <cx:f>'PARETO POR OCUPACIONES '!$C$3:$C$24</cx:f>
        <cx:lvl ptCount="22" formatCode="General">
          <cx:pt idx="0">0</cx:pt>
          <cx:pt idx="1">0</cx:pt>
          <cx:pt idx="2">6</cx:pt>
          <cx:pt idx="3">1</cx:pt>
          <cx:pt idx="4">8</cx:pt>
          <cx:pt idx="5">0</cx:pt>
          <cx:pt idx="6">43</cx:pt>
          <cx:pt idx="7">4</cx:pt>
          <cx:pt idx="8">4</cx:pt>
          <cx:pt idx="9">5</cx:pt>
          <cx:pt idx="10">0</cx:pt>
          <cx:pt idx="11">2</cx:pt>
          <cx:pt idx="12">0</cx:pt>
          <cx:pt idx="13">16</cx:pt>
          <cx:pt idx="14">6</cx:pt>
          <cx:pt idx="15">0</cx:pt>
          <cx:pt idx="16">0</cx:pt>
          <cx:pt idx="17">1</cx:pt>
          <cx:pt idx="18">2</cx:pt>
          <cx:pt idx="19">0</cx:pt>
          <cx:pt idx="20">1</cx:pt>
          <cx:pt idx="21">0</cx:pt>
        </cx:lvl>
      </cx:numDim>
    </cx:data>
  </cx:chartData>
  <cx:chart>
    <cx:plotArea>
      <cx:plotAreaRegion>
        <cx:series layoutId="clusteredColumn" uniqueId="{B8C32A9F-D8F4-461D-952D-44BDB19F69E1}">
          <cx:dataId val="0"/>
          <cx:layoutPr>
            <cx:aggregation/>
          </cx:layoutPr>
          <cx:axisId val="1"/>
        </cx:series>
        <cx:series layoutId="paretoLine" ownerIdx="0" uniqueId="{79F1F789-032B-45DC-BAA0-98B11962B994}">
          <cx:axisId val="2"/>
        </cx:series>
      </cx:plotAreaRegion>
      <cx:axis id="0">
        <cx:catScaling gapWidth="0"/>
        <cx:tickLabels/>
        <cx:txPr>
          <a:bodyPr spcFirstLastPara="1" vertOverflow="ellipsis" wrap="square" lIns="0" tIns="0" rIns="0" bIns="0" anchor="ctr" anchorCtr="1"/>
          <a:lstStyle/>
          <a:p>
            <a:pPr>
              <a:defRPr lang="es-ES" sz="8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800">
              <a:latin typeface="Times New Roman" panose="02020603050405020304" pitchFamily="18" charset="0"/>
              <a:cs typeface="Times New Roman" panose="02020603050405020304" pitchFamily="18" charset="0"/>
            </a:endParaRPr>
          </a:p>
        </cx:txPr>
      </cx:axis>
      <cx:axis id="1">
        <cx:valScaling/>
        <cx:majorGridlines/>
        <cx:tickLabels/>
        <cx:txPr>
          <a:bodyPr spcFirstLastPara="1" vertOverflow="ellipsis" wrap="square" lIns="0" tIns="0" rIns="0" bIns="0" anchor="ctr" anchorCtr="1"/>
          <a:lstStyle/>
          <a:p>
            <a:pPr>
              <a:defRPr lang="es-ES" sz="10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axis id="2">
        <cx:valScaling max="1" min="0"/>
        <cx:units unit="percentage"/>
        <cx:tickLabels/>
        <cx:txPr>
          <a:bodyPr spcFirstLastPara="1" vertOverflow="ellipsis" wrap="square" lIns="0" tIns="0" rIns="0" bIns="0" anchor="ctr" anchorCtr="1"/>
          <a:lstStyle/>
          <a:p>
            <a:pPr>
              <a:defRPr lang="es-ES" sz="10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plotArea>
  </cx:chart>
  <cx:clrMapOvr bg1="lt1" tx1="dk1" bg2="lt2" tx2="dk2" accent1="accent1" accent2="accent2" accent3="accent3" accent4="accent4" accent5="accent5" accent6="accent6" hlink="hlink" folHlink="folHlink"/>
</cx:chartSpace>
</file>

<file path=word/charts/chartEx4.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'PARETO POR OCUPACIONES '!$B$3:$B$24</cx:f>
        <cx:lvl ptCount="22">
          <cx:pt idx="0">Diseño y medición del trabajo</cx:pt>
          <cx:pt idx="1">Investigación y análisis de operaciones</cx:pt>
          <cx:pt idx="2">Análisis económico de ingeniería</cx:pt>
          <cx:pt idx="3">Ingeniería de instalaciones y gestión energética</cx:pt>
          <cx:pt idx="4">Ingeniería de calidad y confiabilidad</cx:pt>
          <cx:pt idx="5">Ergonomía y factores humanos</cx:pt>
          <cx:pt idx="6">Ingeniería y gestión de operaciones</cx:pt>
          <cx:pt idx="7">Gestión de la cadena de suministro</cx:pt>
          <cx:pt idx="8">Enfoque al cliente</cx:pt>
          <cx:pt idx="9">Liderazgo, trabajo en equipo y organización</cx:pt>
          <cx:pt idx="10">Sistemas de conocimiento compartido</cx:pt>
          <cx:pt idx="11">Procesos comerciales</cx:pt>
          <cx:pt idx="12">Recursos y responsabilidad</cx:pt>
          <cx:pt idx="13">Gestión estratégica</cx:pt>
          <cx:pt idx="14">Gestión de recursos humanos</cx:pt>
          <cx:pt idx="15">Gestión de proyectos</cx:pt>
          <cx:pt idx="16">Gestión del desempeño a nivel organizacional</cx:pt>
          <cx:pt idx="17">Seguridad</cx:pt>
          <cx:pt idx="18">Ingeniería de la información</cx:pt>
          <cx:pt idx="19">Ingeniería de diseño y fabricación</cx:pt>
          <cx:pt idx="20">Diseño y desarrollo de productos</cx:pt>
          <cx:pt idx="21">Diseño e ingeniería de sistemas</cx:pt>
        </cx:lvl>
      </cx:strDim>
      <cx:numDim type="val">
        <cx:f>'PARETO POR OCUPACIONES '!$C$3:$C$24</cx:f>
        <cx:lvl ptCount="22" formatCode="General">
          <cx:pt idx="0">0</cx:pt>
          <cx:pt idx="1">1</cx:pt>
          <cx:pt idx="2">18</cx:pt>
          <cx:pt idx="3">0</cx:pt>
          <cx:pt idx="4">3</cx:pt>
          <cx:pt idx="5">1</cx:pt>
          <cx:pt idx="6">11</cx:pt>
          <cx:pt idx="7">9</cx:pt>
          <cx:pt idx="8">9</cx:pt>
          <cx:pt idx="9">2</cx:pt>
          <cx:pt idx="10">0</cx:pt>
          <cx:pt idx="11">2</cx:pt>
          <cx:pt idx="12">0</cx:pt>
          <cx:pt idx="13">0</cx:pt>
          <cx:pt idx="14">8</cx:pt>
          <cx:pt idx="15">2</cx:pt>
          <cx:pt idx="16">1</cx:pt>
          <cx:pt idx="17">5</cx:pt>
          <cx:pt idx="18">0</cx:pt>
          <cx:pt idx="19">0</cx:pt>
          <cx:pt idx="20">0</cx:pt>
          <cx:pt idx="21">0</cx:pt>
        </cx:lvl>
      </cx:numDim>
    </cx:data>
  </cx:chartData>
  <cx:chart>
    <cx:plotArea>
      <cx:plotAreaRegion>
        <cx:series layoutId="clusteredColumn" uniqueId="{B8C32A9F-D8F4-461D-952D-44BDB19F69E1}">
          <cx:dataId val="0"/>
          <cx:layoutPr>
            <cx:aggregation/>
          </cx:layoutPr>
          <cx:axisId val="1"/>
        </cx:series>
        <cx:series layoutId="paretoLine" ownerIdx="0" uniqueId="{79F1F789-032B-45DC-BAA0-98B11962B994}">
          <cx:axisId val="2"/>
        </cx:series>
      </cx:plotAreaRegion>
      <cx:axis id="0">
        <cx:catScaling gapWidth="0"/>
        <cx:tickLabels/>
        <cx:txPr>
          <a:bodyPr spcFirstLastPara="1" vertOverflow="ellipsis" wrap="square" lIns="0" tIns="0" rIns="0" bIns="0" anchor="ctr" anchorCtr="1"/>
          <a:lstStyle/>
          <a:p>
            <a:pPr>
              <a:defRPr lang="es-ES" sz="8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800">
              <a:latin typeface="Times New Roman" panose="02020603050405020304" pitchFamily="18" charset="0"/>
              <a:cs typeface="Times New Roman" panose="02020603050405020304" pitchFamily="18" charset="0"/>
            </a:endParaRPr>
          </a:p>
        </cx:txPr>
      </cx:axis>
      <cx:axis id="1">
        <cx:valScaling/>
        <cx:majorGridlines/>
        <cx:tickLabels/>
        <cx:txPr>
          <a:bodyPr spcFirstLastPara="1" vertOverflow="ellipsis" wrap="square" lIns="0" tIns="0" rIns="0" bIns="0" anchor="ctr" anchorCtr="1"/>
          <a:lstStyle/>
          <a:p>
            <a:pPr>
              <a:defRPr lang="es-ES" sz="10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axis id="2">
        <cx:valScaling max="1" min="0"/>
        <cx:units unit="percentage"/>
        <cx:tickLabels/>
        <cx:txPr>
          <a:bodyPr spcFirstLastPara="1" vertOverflow="ellipsis" wrap="square" lIns="0" tIns="0" rIns="0" bIns="0" anchor="ctr" anchorCtr="1"/>
          <a:lstStyle/>
          <a:p>
            <a:pPr>
              <a:defRPr lang="es-ES" sz="1000" b="0" i="0" u="none" strike="noStrike" kern="1200" baseline="0">
                <a:solidFill>
                  <a:sysClr val="windowText" lastClr="000000">
                    <a:lumMod val="65000"/>
                    <a:lumOff val="35000"/>
                  </a:sysClr>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plotArea>
  </cx:chart>
  <cx:clrMapOvr bg1="lt1" tx1="dk1" bg2="lt2" tx2="dk2" accent1="accent1" accent2="accent2" accent3="accent3" accent4="accent4" accent5="accent5" accent6="accent6" hlink="hlink" folHlink="folHlink"/>
</cx:chartSpace>
</file>

<file path=word/charts/chartEx5.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'Pareto Vacantes (2)'!$B$2:$B$22</cx:f>
        <cx:lvl ptCount="21">
          <cx:pt idx="0">Diseño y medición del trabajo</cx:pt>
          <cx:pt idx="1">Investigación y análisis de operaciones</cx:pt>
          <cx:pt idx="2">Análisis económico de ingeniería</cx:pt>
          <cx:pt idx="3">Ingeniería de instalaciones y gestión energética</cx:pt>
          <cx:pt idx="4">Ingeniería de calidad y confiabilidad</cx:pt>
          <cx:pt idx="5">Ergonomía y factores humanos</cx:pt>
          <cx:pt idx="6">Ingeniería y gestión de operaciones</cx:pt>
          <cx:pt idx="7">Gestión de la cadena de suministro</cx:pt>
          <cx:pt idx="8">Liderazgo, trabajo en equipo y organización</cx:pt>
          <cx:pt idx="9">Sistemas de conocimiento compartido</cx:pt>
          <cx:pt idx="10">Procesos comerciales</cx:pt>
          <cx:pt idx="11">Recursos y responsabilidad</cx:pt>
          <cx:pt idx="12">Gestión estratégica</cx:pt>
          <cx:pt idx="13">Gestión de recursos humanos</cx:pt>
          <cx:pt idx="14">Gestión de proyectos</cx:pt>
          <cx:pt idx="15">Gestión del desempeño a nivel organizacional</cx:pt>
          <cx:pt idx="16">Seguridad</cx:pt>
          <cx:pt idx="17">Ingeniería de la información</cx:pt>
          <cx:pt idx="18">Ingeniería de diseño y fabricación</cx:pt>
          <cx:pt idx="19">Diseño y desarrollo de productos</cx:pt>
          <cx:pt idx="20">Diseño e ingeniería de sistemas</cx:pt>
        </cx:lvl>
      </cx:strDim>
      <cx:numDim type="val">
        <cx:f>'Pareto Vacantes (2)'!$C$2:$C$22</cx:f>
        <cx:lvl ptCount="21" formatCode="General">
          <cx:pt idx="0">0</cx:pt>
          <cx:pt idx="1">0</cx:pt>
          <cx:pt idx="2">2686.3000000000002</cx:pt>
          <cx:pt idx="3">1292.9000000000001</cx:pt>
          <cx:pt idx="4">1709.9000000000001</cx:pt>
          <cx:pt idx="5">0</cx:pt>
          <cx:pt idx="6">8773.6000000000004</cx:pt>
          <cx:pt idx="7">368.19999999999999</cx:pt>
          <cx:pt idx="8">507.10000000000002</cx:pt>
          <cx:pt idx="9">0</cx:pt>
          <cx:pt idx="10">5011.1000000000004</cx:pt>
          <cx:pt idx="11">0</cx:pt>
          <cx:pt idx="12">7241.6999999999998</cx:pt>
          <cx:pt idx="13">5647.6999999999998</cx:pt>
          <cx:pt idx="14">0</cx:pt>
          <cx:pt idx="15">0</cx:pt>
          <cx:pt idx="16">2108.5999999999999</cx:pt>
          <cx:pt idx="17">8430.8999999999996</cx:pt>
          <cx:pt idx="18">0</cx:pt>
          <cx:pt idx="19">300.69999999999999</cx:pt>
          <cx:pt idx="20">0</cx:pt>
        </cx:lvl>
      </cx:numDim>
    </cx:data>
  </cx:chartData>
  <cx:chart>
    <cx:plotArea>
      <cx:plotAreaRegion>
        <cx:series layoutId="clusteredColumn" uniqueId="{9707B48D-75FE-42D9-9F9A-0DE914443161}">
          <cx:tx>
            <cx:txData>
              <cx:f>'Pareto Vacantes (2)'!$C$1</cx:f>
              <cx:v>Vacantes Promedio
FI</cx:v>
            </cx:txData>
          </cx:tx>
          <cx:dataId val="0"/>
          <cx:layoutPr>
            <cx:aggregation/>
          </cx:layoutPr>
          <cx:axisId val="1"/>
        </cx:series>
        <cx:series layoutId="paretoLine" ownerIdx="0" uniqueId="{64F05220-8768-4B66-A539-AC98EE6715FB}">
          <cx:axisId val="2"/>
        </cx:series>
      </cx:plotAreaRegion>
      <cx:axis id="0">
        <cx:catScaling gapWidth="0"/>
        <cx:tickLabels/>
        <cx:txPr>
          <a:bodyPr spcFirstLastPara="1" vertOverflow="ellipsis" wrap="square" lIns="0" tIns="0" rIns="0" bIns="0" anchor="ctr" anchorCtr="1"/>
          <a:lstStyle/>
          <a:p>
            <a:pPr>
              <a:defRPr sz="800">
                <a:latin typeface="Times New Roman" panose="02020603050405020304" pitchFamily="18" charset="0"/>
                <a:ea typeface="Times New Roman" panose="02020603050405020304" pitchFamily="18" charset="0"/>
                <a:cs typeface="Times New Roman" panose="02020603050405020304" pitchFamily="18" charset="0"/>
              </a:defRPr>
            </a:pPr>
            <a:endParaRPr lang="en-US" sz="800">
              <a:latin typeface="Times New Roman" panose="02020603050405020304" pitchFamily="18" charset="0"/>
              <a:cs typeface="Times New Roman" panose="02020603050405020304" pitchFamily="18" charset="0"/>
            </a:endParaRPr>
          </a:p>
        </cx:txPr>
      </cx:axis>
      <cx:axis id="1">
        <cx:valScaling/>
        <cx:majorGridlines/>
        <cx:tickLabels/>
        <cx:txPr>
          <a:bodyPr spcFirstLastPara="1" vertOverflow="ellipsis" wrap="square" lIns="0" tIns="0" rIns="0" bIns="0" anchor="ctr" anchorCtr="1"/>
          <a:lstStyle/>
          <a:p>
            <a:pPr>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axis id="2">
        <cx:valScaling max="1" min="0"/>
        <cx:units unit="percentage"/>
        <cx:tickLabels/>
        <cx:txPr>
          <a:bodyPr spcFirstLastPara="1" vertOverflow="ellipsis" wrap="square" lIns="0" tIns="0" rIns="0" bIns="0" anchor="ctr" anchorCtr="1"/>
          <a:lstStyle/>
          <a:p>
            <a:pPr>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latin typeface="Times New Roman" panose="02020603050405020304" pitchFamily="18" charset="0"/>
              <a:cs typeface="Times New Roman" panose="02020603050405020304" pitchFamily="18" charset="0"/>
            </a:endParaRPr>
          </a:p>
        </cx:txPr>
      </cx:axis>
    </cx:plotArea>
  </cx:chart>
  <cx:clrMapOvr bg1="lt1" tx1="dk1" bg2="lt2" tx2="dk2" accent1="accent1" accent2="accent2" accent3="accent3" accent4="accent4" accent5="accent5" accent6="accent6" hlink="hlink" folHlink="folHlink"/>
</cx:chartSpace>
</file>

<file path=word/charts/chartEx6.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'Pareto Asginaturas'!$B$2:$B$23</cx:f>
        <cx:lvl ptCount="22">
          <cx:pt idx="0">Diseño y medición del trabajo</cx:pt>
          <cx:pt idx="1">Investigación y análisis de operaciones</cx:pt>
          <cx:pt idx="2">Análisis económico de ingeniería</cx:pt>
          <cx:pt idx="3">Ingeniería de instalaciones y gestión energética</cx:pt>
          <cx:pt idx="4">Ingeniería de calidad y confiabilidad</cx:pt>
          <cx:pt idx="5">Ergonomía y factores humanos</cx:pt>
          <cx:pt idx="6">Ingeniería y gestión de operaciones</cx:pt>
          <cx:pt idx="7">Gestión de la cadena de suministro</cx:pt>
          <cx:pt idx="8">Enfoque al cliente</cx:pt>
          <cx:pt idx="9">Liderazgo, trabajo en equipo y organización</cx:pt>
          <cx:pt idx="10">Sistemas de conocimiento compartido</cx:pt>
          <cx:pt idx="11">Procesos comerciales</cx:pt>
          <cx:pt idx="12">Recursos y responsabilidad</cx:pt>
          <cx:pt idx="13">Gestión estratégica</cx:pt>
          <cx:pt idx="14">Gestión de recursos humanos</cx:pt>
          <cx:pt idx="15">Gestión de proyectos</cx:pt>
          <cx:pt idx="16">Gestión del desempeño a nivel organizacional</cx:pt>
          <cx:pt idx="17">Seguridad</cx:pt>
          <cx:pt idx="18">Ingeniería de la información</cx:pt>
          <cx:pt idx="19">Ingeniería de diseño y fabricación</cx:pt>
          <cx:pt idx="20">Diseño y desarrollo de productos</cx:pt>
          <cx:pt idx="21">Diseño e ingeniería de sistemas</cx:pt>
        </cx:lvl>
      </cx:strDim>
      <cx:numDim type="val">
        <cx:f>'Pareto Asginaturas'!$C$2:$C$23</cx:f>
        <cx:lvl ptCount="22" formatCode="General">
          <cx:pt idx="0">0</cx:pt>
          <cx:pt idx="1">2</cx:pt>
          <cx:pt idx="2">5</cx:pt>
          <cx:pt idx="3">1</cx:pt>
          <cx:pt idx="4">4</cx:pt>
          <cx:pt idx="5">0</cx:pt>
          <cx:pt idx="6">2</cx:pt>
          <cx:pt idx="7">1</cx:pt>
          <cx:pt idx="8">2</cx:pt>
          <cx:pt idx="9">2</cx:pt>
          <cx:pt idx="10">0</cx:pt>
          <cx:pt idx="11">0</cx:pt>
          <cx:pt idx="12">0</cx:pt>
          <cx:pt idx="13">1</cx:pt>
          <cx:pt idx="14">1</cx:pt>
          <cx:pt idx="15">1</cx:pt>
          <cx:pt idx="16">0</cx:pt>
          <cx:pt idx="17">1</cx:pt>
          <cx:pt idx="18">1</cx:pt>
          <cx:pt idx="19">2</cx:pt>
          <cx:pt idx="20">0</cx:pt>
          <cx:pt idx="21">0</cx:pt>
        </cx:lvl>
      </cx:numDim>
    </cx:data>
  </cx:chartData>
  <cx:chart>
    <cx:plotArea>
      <cx:plotAreaRegion>
        <cx:series layoutId="clusteredColumn" uniqueId="{9707B48D-75FE-42D9-9F9A-0DE914443161}">
          <cx:tx>
            <cx:txData>
              <cx:f>'Pareto Asginaturas'!$C$1</cx:f>
              <cx:v>Asignaturas
FI</cx:v>
            </cx:txData>
          </cx:tx>
          <cx:dataId val="0"/>
          <cx:layoutPr>
            <cx:aggregation/>
          </cx:layoutPr>
          <cx:axisId val="1"/>
        </cx:series>
        <cx:series layoutId="paretoLine" ownerIdx="0" uniqueId="{64F05220-8768-4B66-A539-AC98EE6715FB}">
          <cx:axisId val="2"/>
        </cx:series>
      </cx:plotAreaRegion>
      <cx:axis id="0">
        <cx:catScaling gapWidth="0"/>
        <cx:tickLabels/>
        <cx:txPr>
          <a:bodyPr spcFirstLastPara="1" vertOverflow="ellipsis" wrap="square" lIns="0" tIns="0" rIns="0" bIns="0" anchor="ctr" anchorCtr="1"/>
          <a:lstStyle/>
          <a:p>
            <a:pPr>
              <a:defRPr sz="8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800">
              <a:solidFill>
                <a:sysClr val="windowText" lastClr="000000"/>
              </a:solidFill>
              <a:latin typeface="Times New Roman" panose="02020603050405020304" pitchFamily="18" charset="0"/>
              <a:cs typeface="Times New Roman" panose="02020603050405020304" pitchFamily="18" charset="0"/>
            </a:endParaRPr>
          </a:p>
        </cx:txPr>
      </cx:axis>
      <cx:axis id="1">
        <cx:valScaling/>
        <cx:majorGridlines/>
        <cx:tickLabels/>
        <cx:txPr>
          <a:bodyPr spcFirstLastPara="1" vertOverflow="ellipsis" wrap="square" lIns="0" tIns="0" rIns="0" bIns="0" anchor="ctr" anchorCtr="1"/>
          <a:lstStyle/>
          <a:p>
            <a:pPr>
              <a:defRPr sz="10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solidFill>
                <a:sysClr val="windowText" lastClr="000000"/>
              </a:solidFill>
              <a:latin typeface="Times New Roman" panose="02020603050405020304" pitchFamily="18" charset="0"/>
              <a:cs typeface="Times New Roman" panose="02020603050405020304" pitchFamily="18" charset="0"/>
            </a:endParaRPr>
          </a:p>
        </cx:txPr>
      </cx:axis>
      <cx:axis id="2">
        <cx:valScaling max="1" min="0"/>
        <cx:units unit="percentage"/>
        <cx:tickLabels/>
        <cx:txPr>
          <a:bodyPr spcFirstLastPara="1" vertOverflow="ellipsis" wrap="square" lIns="0" tIns="0" rIns="0" bIns="0" anchor="ctr" anchorCtr="1"/>
          <a:lstStyle/>
          <a:p>
            <a:pPr>
              <a:defRPr sz="10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000">
              <a:solidFill>
                <a:sysClr val="windowText" lastClr="000000"/>
              </a:solidFill>
              <a:latin typeface="Times New Roman" panose="02020603050405020304" pitchFamily="18" charset="0"/>
              <a:cs typeface="Times New Roman" panose="02020603050405020304" pitchFamily="18" charset="0"/>
            </a:endParaRPr>
          </a:p>
        </cx:txPr>
      </cx:axis>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tx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tx1"/>
    </cs:fontRef>
  </cs:dropLine>
  <cs:errorBar>
    <cs:lnRef idx="0"/>
    <cs:fillRef idx="0"/>
    <cs:effectRef idx="0"/>
    <cs:fontRef idx="minor">
      <a:schemeClr val="tx1"/>
    </cs:fontRef>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a:solidFill>
          <a:schemeClr val="tx1">
            <a:lumMod val="15000"/>
            <a:lumOff val="85000"/>
            <a:lumOff val="10000"/>
          </a:schemeClr>
        </a:solidFill>
      </a:ln>
    </cs:spPr>
  </cs:gridlineMinor>
  <cs:hiLoLine>
    <cs:lnRef idx="0"/>
    <cs:fillRef idx="0"/>
    <cs:effectRef idx="0"/>
    <cs:fontRef idx="minor">
      <a:schemeClr val="tx1"/>
    </cs:fontRef>
  </cs:hiLoLine>
  <cs:leaderLine>
    <cs:lnRef idx="0"/>
    <cs:fillRef idx="0"/>
    <cs:effectRef idx="0"/>
    <cs:fontRef idx="minor">
      <a:schemeClr val="tx1"/>
    </cs:fontRef>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D718B1-4EED-44FB-817B-48439719A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35</Pages>
  <Words>7885</Words>
  <Characters>44947</Characters>
  <Application>Microsoft Office Word</Application>
  <DocSecurity>0</DocSecurity>
  <Lines>374</Lines>
  <Paragraphs>105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ASTRID CAROLINA REVELO NUÑEZ</cp:lastModifiedBy>
  <cp:revision>14</cp:revision>
  <dcterms:created xsi:type="dcterms:W3CDTF">2019-05-17T17:20:00Z</dcterms:created>
  <dcterms:modified xsi:type="dcterms:W3CDTF">2022-08-20T16:59:00Z</dcterms:modified>
</cp:coreProperties>
</file>