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4622C20" w14:textId="67D1F49A" w:rsidR="00A5458D" w:rsidRPr="00A5458D" w:rsidRDefault="00A5458D" w:rsidP="00E23872">
      <w:pPr>
        <w:spacing w:line="480" w:lineRule="auto"/>
        <w:jc w:val="both"/>
        <w:rPr>
          <w:rFonts w:ascii="Times New Roman" w:hAnsi="Times New Roman" w:cs="Times New Roman"/>
        </w:rPr>
      </w:pPr>
      <w:r w:rsidRPr="00A5458D">
        <w:rPr>
          <w:rFonts w:ascii="Times New Roman" w:hAnsi="Times New Roman" w:cs="Times New Roman"/>
        </w:rPr>
        <w:t xml:space="preserve"> </w:t>
      </w:r>
      <w:r w:rsidRPr="00A5458D">
        <w:rPr>
          <w:rFonts w:ascii="Times New Roman" w:hAnsi="Times New Roman" w:cs="Times New Roman"/>
          <w:b/>
          <w:bCs/>
        </w:rPr>
        <w:t xml:space="preserve">Bitácora </w:t>
      </w:r>
      <w:r w:rsidRPr="00E23872">
        <w:rPr>
          <w:rFonts w:ascii="Times New Roman" w:hAnsi="Times New Roman" w:cs="Times New Roman"/>
          <w:b/>
          <w:bCs/>
        </w:rPr>
        <w:t xml:space="preserve">de </w:t>
      </w:r>
      <w:r w:rsidR="00F67411">
        <w:rPr>
          <w:rFonts w:ascii="Times New Roman" w:hAnsi="Times New Roman" w:cs="Times New Roman"/>
          <w:b/>
          <w:bCs/>
        </w:rPr>
        <w:t xml:space="preserve">especificación en la </w:t>
      </w:r>
      <w:r w:rsidRPr="00E23872">
        <w:rPr>
          <w:rFonts w:ascii="Times New Roman" w:hAnsi="Times New Roman" w:cs="Times New Roman"/>
          <w:b/>
          <w:bCs/>
        </w:rPr>
        <w:t>aplicación de encuesta.</w:t>
      </w:r>
    </w:p>
    <w:p w14:paraId="4FA2E4A4" w14:textId="30B9E9C7" w:rsidR="00A5458D" w:rsidRPr="00F67411" w:rsidRDefault="00A5458D" w:rsidP="00F67411">
      <w:pPr>
        <w:pStyle w:val="Prrafodelista"/>
        <w:numPr>
          <w:ilvl w:val="0"/>
          <w:numId w:val="2"/>
        </w:numPr>
        <w:spacing w:line="480" w:lineRule="auto"/>
        <w:jc w:val="both"/>
        <w:rPr>
          <w:rFonts w:ascii="Times New Roman" w:hAnsi="Times New Roman" w:cs="Times New Roman"/>
          <w:b/>
          <w:bCs/>
        </w:rPr>
      </w:pPr>
      <w:r w:rsidRPr="005B7326">
        <w:rPr>
          <w:rFonts w:ascii="Times New Roman" w:hAnsi="Times New Roman" w:cs="Times New Roman"/>
          <w:b/>
          <w:bCs/>
        </w:rPr>
        <w:t>Determinación de la población.</w:t>
      </w:r>
    </w:p>
    <w:p w14:paraId="7C764565" w14:textId="66F8EED6" w:rsidR="00A5458D" w:rsidRDefault="00E23872" w:rsidP="00E23872">
      <w:pPr>
        <w:pStyle w:val="Prrafodelista"/>
        <w:spacing w:line="480" w:lineRule="auto"/>
        <w:jc w:val="both"/>
        <w:rPr>
          <w:rFonts w:ascii="Times New Roman" w:hAnsi="Times New Roman" w:cs="Times New Roman"/>
        </w:rPr>
      </w:pPr>
      <w:r w:rsidRPr="00E23872">
        <w:rPr>
          <w:rFonts w:ascii="Times New Roman" w:hAnsi="Times New Roman" w:cs="Times New Roman"/>
        </w:rPr>
        <w:t>Para la</w:t>
      </w:r>
      <w:r w:rsidRPr="00E23872">
        <w:rPr>
          <w:rFonts w:ascii="Times New Roman" w:hAnsi="Times New Roman" w:cs="Times New Roman"/>
        </w:rPr>
        <w:t xml:space="preserve"> determinación de la población, se realizó una búsqueda en la plataforma Compite 360, la cual es un sistema de consulta en línea que proporciona información comercial, financiera, jurídica y económica de empresas legalmente constituidas en Colombia y registradas en las distintas cámaras de comercio. El dato se obtuvo </w:t>
      </w:r>
      <w:r w:rsidRPr="00E23872">
        <w:rPr>
          <w:rFonts w:ascii="Times New Roman" w:hAnsi="Times New Roman" w:cs="Times New Roman"/>
        </w:rPr>
        <w:t>de acuerdo con</w:t>
      </w:r>
      <w:r w:rsidRPr="00E23872">
        <w:rPr>
          <w:rFonts w:ascii="Times New Roman" w:hAnsi="Times New Roman" w:cs="Times New Roman"/>
        </w:rPr>
        <w:t xml:space="preserve"> la búsqueda realizada tomando como criterios el departamento, la ciudad</w:t>
      </w:r>
      <w:r w:rsidR="00AB5393">
        <w:rPr>
          <w:rFonts w:ascii="Times New Roman" w:hAnsi="Times New Roman" w:cs="Times New Roman"/>
        </w:rPr>
        <w:t>,</w:t>
      </w:r>
      <w:r w:rsidRPr="00E23872">
        <w:rPr>
          <w:rFonts w:ascii="Times New Roman" w:hAnsi="Times New Roman" w:cs="Times New Roman"/>
        </w:rPr>
        <w:t xml:space="preserve"> la actividad económica</w:t>
      </w:r>
      <w:r w:rsidR="00AB5393">
        <w:rPr>
          <w:rFonts w:ascii="Times New Roman" w:hAnsi="Times New Roman" w:cs="Times New Roman"/>
        </w:rPr>
        <w:t xml:space="preserve"> y el tamaño de la empresa</w:t>
      </w:r>
      <w:r w:rsidRPr="00E23872">
        <w:rPr>
          <w:rFonts w:ascii="Times New Roman" w:hAnsi="Times New Roman" w:cs="Times New Roman"/>
        </w:rPr>
        <w:t xml:space="preserve">, </w:t>
      </w:r>
      <w:r w:rsidRPr="00E23872">
        <w:rPr>
          <w:rFonts w:ascii="Times New Roman" w:hAnsi="Times New Roman" w:cs="Times New Roman"/>
        </w:rPr>
        <w:t>de acuerdo con</w:t>
      </w:r>
      <w:r w:rsidRPr="00E23872">
        <w:rPr>
          <w:rFonts w:ascii="Times New Roman" w:hAnsi="Times New Roman" w:cs="Times New Roman"/>
        </w:rPr>
        <w:t xml:space="preserve"> lo anterior se obtuvo el resultado de 123 empresas dedicadas a la fabricación de joyas, bisutería y artículos conexos registradas en la Cámara de Comercio de Bucaramanga</w:t>
      </w:r>
      <w:r>
        <w:rPr>
          <w:rFonts w:ascii="Times New Roman" w:hAnsi="Times New Roman" w:cs="Times New Roman"/>
        </w:rPr>
        <w:t>, como se observa en la figura 1.</w:t>
      </w:r>
    </w:p>
    <w:p w14:paraId="1D86679F" w14:textId="0488EC92" w:rsidR="00E23872" w:rsidRPr="00F67411" w:rsidRDefault="00E23872" w:rsidP="00E23872">
      <w:pPr>
        <w:pStyle w:val="Descripcin"/>
        <w:spacing w:line="480" w:lineRule="auto"/>
        <w:rPr>
          <w:rFonts w:ascii="Times New Roman" w:hAnsi="Times New Roman" w:cs="Times New Roman"/>
          <w:color w:val="auto"/>
          <w:sz w:val="24"/>
          <w:szCs w:val="24"/>
        </w:rPr>
      </w:pPr>
      <w:r w:rsidRPr="00F67411">
        <w:rPr>
          <w:b/>
          <w:bCs/>
          <w:color w:val="auto"/>
        </w:rPr>
        <w:drawing>
          <wp:anchor distT="0" distB="0" distL="114300" distR="114300" simplePos="0" relativeHeight="251658240" behindDoc="0" locked="0" layoutInCell="1" allowOverlap="1" wp14:anchorId="619DDBF5" wp14:editId="13E85AB5">
            <wp:simplePos x="0" y="0"/>
            <wp:positionH relativeFrom="margin">
              <wp:align>right</wp:align>
            </wp:positionH>
            <wp:positionV relativeFrom="paragraph">
              <wp:posOffset>821055</wp:posOffset>
            </wp:positionV>
            <wp:extent cx="5612130" cy="1814195"/>
            <wp:effectExtent l="19050" t="19050" r="26670" b="14605"/>
            <wp:wrapSquare wrapText="bothSides"/>
            <wp:docPr id="15178439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7843917" name=""/>
                    <pic:cNvPicPr/>
                  </pic:nvPicPr>
                  <pic:blipFill>
                    <a:blip r:embed="rId6">
                      <a:extLst>
                        <a:ext uri="{28A0092B-C50C-407E-A947-70E740481C1C}">
                          <a14:useLocalDpi xmlns:a14="http://schemas.microsoft.com/office/drawing/2010/main" val="0"/>
                        </a:ext>
                      </a:extLst>
                    </a:blip>
                    <a:stretch>
                      <a:fillRect/>
                    </a:stretch>
                  </pic:blipFill>
                  <pic:spPr>
                    <a:xfrm>
                      <a:off x="0" y="0"/>
                      <a:ext cx="5612130" cy="1814195"/>
                    </a:xfrm>
                    <a:prstGeom prst="rect">
                      <a:avLst/>
                    </a:prstGeom>
                    <a:ln>
                      <a:solidFill>
                        <a:schemeClr val="accent1"/>
                      </a:solidFill>
                    </a:ln>
                  </pic:spPr>
                </pic:pic>
              </a:graphicData>
            </a:graphic>
            <wp14:sizeRelH relativeFrom="page">
              <wp14:pctWidth>0</wp14:pctWidth>
            </wp14:sizeRelH>
            <wp14:sizeRelV relativeFrom="page">
              <wp14:pctHeight>0</wp14:pctHeight>
            </wp14:sizeRelV>
          </wp:anchor>
        </w:drawing>
      </w:r>
      <w:r w:rsidRPr="00F67411">
        <w:rPr>
          <w:rFonts w:ascii="Times New Roman" w:hAnsi="Times New Roman" w:cs="Times New Roman"/>
          <w:b/>
          <w:bCs/>
          <w:i w:val="0"/>
          <w:iCs w:val="0"/>
          <w:color w:val="auto"/>
          <w:sz w:val="24"/>
          <w:szCs w:val="24"/>
        </w:rPr>
        <w:t xml:space="preserve">Figura  </w:t>
      </w:r>
      <w:r w:rsidRPr="00F67411">
        <w:rPr>
          <w:rFonts w:ascii="Times New Roman" w:hAnsi="Times New Roman" w:cs="Times New Roman"/>
          <w:b/>
          <w:bCs/>
          <w:i w:val="0"/>
          <w:iCs w:val="0"/>
          <w:color w:val="auto"/>
          <w:sz w:val="24"/>
          <w:szCs w:val="24"/>
        </w:rPr>
        <w:fldChar w:fldCharType="begin"/>
      </w:r>
      <w:r w:rsidRPr="00F67411">
        <w:rPr>
          <w:rFonts w:ascii="Times New Roman" w:hAnsi="Times New Roman" w:cs="Times New Roman"/>
          <w:b/>
          <w:bCs/>
          <w:i w:val="0"/>
          <w:iCs w:val="0"/>
          <w:color w:val="auto"/>
          <w:sz w:val="24"/>
          <w:szCs w:val="24"/>
        </w:rPr>
        <w:instrText xml:space="preserve"> SEQ Figura_ \* ARABIC </w:instrText>
      </w:r>
      <w:r w:rsidRPr="00F67411">
        <w:rPr>
          <w:rFonts w:ascii="Times New Roman" w:hAnsi="Times New Roman" w:cs="Times New Roman"/>
          <w:b/>
          <w:bCs/>
          <w:i w:val="0"/>
          <w:iCs w:val="0"/>
          <w:color w:val="auto"/>
          <w:sz w:val="24"/>
          <w:szCs w:val="24"/>
        </w:rPr>
        <w:fldChar w:fldCharType="separate"/>
      </w:r>
      <w:r w:rsidRPr="00F67411">
        <w:rPr>
          <w:rFonts w:ascii="Times New Roman" w:hAnsi="Times New Roman" w:cs="Times New Roman"/>
          <w:b/>
          <w:bCs/>
          <w:i w:val="0"/>
          <w:iCs w:val="0"/>
          <w:noProof/>
          <w:color w:val="auto"/>
          <w:sz w:val="24"/>
          <w:szCs w:val="24"/>
        </w:rPr>
        <w:t>1</w:t>
      </w:r>
      <w:r w:rsidRPr="00F67411">
        <w:rPr>
          <w:rFonts w:ascii="Times New Roman" w:hAnsi="Times New Roman" w:cs="Times New Roman"/>
          <w:b/>
          <w:bCs/>
          <w:i w:val="0"/>
          <w:iCs w:val="0"/>
          <w:color w:val="auto"/>
          <w:sz w:val="24"/>
          <w:szCs w:val="24"/>
        </w:rPr>
        <w:fldChar w:fldCharType="end"/>
      </w:r>
      <w:r w:rsidRPr="00F67411">
        <w:rPr>
          <w:rFonts w:ascii="Times New Roman" w:hAnsi="Times New Roman" w:cs="Times New Roman"/>
          <w:b/>
          <w:bCs/>
          <w:i w:val="0"/>
          <w:iCs w:val="0"/>
          <w:color w:val="auto"/>
          <w:sz w:val="24"/>
          <w:szCs w:val="24"/>
        </w:rPr>
        <w:t>.</w:t>
      </w:r>
      <w:r w:rsidRPr="00F67411">
        <w:rPr>
          <w:rFonts w:ascii="Times New Roman" w:hAnsi="Times New Roman" w:cs="Times New Roman"/>
          <w:color w:val="auto"/>
          <w:sz w:val="24"/>
          <w:szCs w:val="24"/>
        </w:rPr>
        <w:t xml:space="preserve"> </w:t>
      </w:r>
      <w:r w:rsidRPr="00F67411">
        <w:rPr>
          <w:rFonts w:ascii="Times New Roman" w:hAnsi="Times New Roman" w:cs="Times New Roman"/>
          <w:color w:val="auto"/>
          <w:sz w:val="24"/>
          <w:szCs w:val="24"/>
        </w:rPr>
        <w:br/>
        <w:t>Tamaño de la población</w:t>
      </w:r>
    </w:p>
    <w:p w14:paraId="5C7A5B18" w14:textId="77777777" w:rsidR="005B7326" w:rsidRPr="005B7326" w:rsidRDefault="005B7326" w:rsidP="005B7326"/>
    <w:p w14:paraId="717884C4" w14:textId="16B25277" w:rsidR="005B7326" w:rsidRDefault="00E23872" w:rsidP="005B7326">
      <w:pPr>
        <w:rPr>
          <w:b/>
          <w:bCs/>
        </w:rPr>
      </w:pPr>
      <w:r w:rsidRPr="005B7326">
        <w:rPr>
          <w:rFonts w:ascii="Times New Roman" w:hAnsi="Times New Roman" w:cs="Times New Roman"/>
          <w:i/>
          <w:iCs/>
        </w:rPr>
        <w:t xml:space="preserve">Nota: El </w:t>
      </w:r>
      <w:r w:rsidR="005B7326" w:rsidRPr="005B7326">
        <w:rPr>
          <w:rFonts w:ascii="Times New Roman" w:hAnsi="Times New Roman" w:cs="Times New Roman"/>
          <w:i/>
          <w:iCs/>
        </w:rPr>
        <w:t>ScreenShot</w:t>
      </w:r>
      <w:r w:rsidRPr="005B7326">
        <w:rPr>
          <w:rFonts w:ascii="Times New Roman" w:hAnsi="Times New Roman" w:cs="Times New Roman"/>
          <w:i/>
          <w:iCs/>
        </w:rPr>
        <w:t xml:space="preserve"> representa el tamaño de la población</w:t>
      </w:r>
      <w:r w:rsidR="005B7326" w:rsidRPr="005B7326">
        <w:rPr>
          <w:rFonts w:ascii="Times New Roman" w:hAnsi="Times New Roman" w:cs="Times New Roman"/>
          <w:i/>
          <w:iCs/>
        </w:rPr>
        <w:t xml:space="preserve"> adaptado de </w:t>
      </w:r>
      <w:r w:rsidRPr="005B7326">
        <w:rPr>
          <w:rFonts w:ascii="Times New Roman" w:hAnsi="Times New Roman" w:cs="Times New Roman"/>
          <w:i/>
          <w:iCs/>
        </w:rPr>
        <w:t xml:space="preserve"> </w:t>
      </w:r>
      <w:sdt>
        <w:sdtPr>
          <w:rPr>
            <w:rFonts w:ascii="Times New Roman" w:hAnsi="Times New Roman" w:cs="Times New Roman"/>
            <w:i/>
            <w:iCs/>
          </w:rPr>
          <w:id w:val="875273495"/>
          <w:citation/>
        </w:sdtPr>
        <w:sdtContent>
          <w:r w:rsidR="005B7326" w:rsidRPr="005B7326">
            <w:rPr>
              <w:rFonts w:ascii="Times New Roman" w:hAnsi="Times New Roman" w:cs="Times New Roman"/>
              <w:i/>
              <w:iCs/>
            </w:rPr>
            <w:fldChar w:fldCharType="begin"/>
          </w:r>
          <w:r w:rsidR="005B7326" w:rsidRPr="005B7326">
            <w:rPr>
              <w:rFonts w:ascii="Times New Roman" w:hAnsi="Times New Roman" w:cs="Times New Roman"/>
              <w:i/>
              <w:iCs/>
              <w:lang w:val="es-ES"/>
            </w:rPr>
            <w:instrText xml:space="preserve"> CITATION Cam21 \l 3082 </w:instrText>
          </w:r>
          <w:r w:rsidR="005B7326" w:rsidRPr="005B7326">
            <w:rPr>
              <w:rFonts w:ascii="Times New Roman" w:hAnsi="Times New Roman" w:cs="Times New Roman"/>
              <w:i/>
              <w:iCs/>
            </w:rPr>
            <w:fldChar w:fldCharType="separate"/>
          </w:r>
          <w:r w:rsidR="005B7326" w:rsidRPr="005B7326">
            <w:rPr>
              <w:rFonts w:ascii="Times New Roman" w:hAnsi="Times New Roman" w:cs="Times New Roman"/>
              <w:i/>
              <w:iCs/>
              <w:noProof/>
              <w:lang w:val="es-ES"/>
            </w:rPr>
            <w:t>(Camara de Comercio de Bucaramanga., 2021)</w:t>
          </w:r>
          <w:r w:rsidR="005B7326" w:rsidRPr="005B7326">
            <w:rPr>
              <w:rFonts w:ascii="Times New Roman" w:hAnsi="Times New Roman" w:cs="Times New Roman"/>
              <w:i/>
              <w:iCs/>
            </w:rPr>
            <w:fldChar w:fldCharType="end"/>
          </w:r>
        </w:sdtContent>
      </w:sdt>
      <w:r w:rsidR="005B7326">
        <w:rPr>
          <w:rFonts w:ascii="Times New Roman" w:hAnsi="Times New Roman" w:cs="Times New Roman"/>
          <w:i/>
          <w:iCs/>
        </w:rPr>
        <w:t>.</w:t>
      </w:r>
    </w:p>
    <w:p w14:paraId="369179A5" w14:textId="03B838F1" w:rsidR="00E23872" w:rsidRDefault="00E23872" w:rsidP="005B7326">
      <w:pPr>
        <w:ind w:left="708"/>
        <w:rPr>
          <w:b/>
          <w:bCs/>
        </w:rPr>
      </w:pPr>
    </w:p>
    <w:p w14:paraId="75106751" w14:textId="77777777" w:rsidR="005B7326" w:rsidRDefault="005B7326" w:rsidP="005B7326">
      <w:pPr>
        <w:rPr>
          <w:b/>
          <w:bCs/>
        </w:rPr>
      </w:pPr>
    </w:p>
    <w:p w14:paraId="57E7C79D" w14:textId="77777777" w:rsidR="00F67411" w:rsidRDefault="00F67411" w:rsidP="005B7326">
      <w:pPr>
        <w:rPr>
          <w:b/>
          <w:bCs/>
        </w:rPr>
      </w:pPr>
    </w:p>
    <w:p w14:paraId="65FD1C37" w14:textId="6C362AAF" w:rsidR="00A5458D" w:rsidRDefault="00A5458D" w:rsidP="00F67411">
      <w:pPr>
        <w:pStyle w:val="Prrafodelista"/>
        <w:numPr>
          <w:ilvl w:val="0"/>
          <w:numId w:val="2"/>
        </w:numPr>
        <w:spacing w:line="480" w:lineRule="auto"/>
        <w:rPr>
          <w:rFonts w:ascii="Times New Roman" w:hAnsi="Times New Roman" w:cs="Times New Roman"/>
          <w:b/>
          <w:bCs/>
        </w:rPr>
      </w:pPr>
      <w:r w:rsidRPr="00442C97">
        <w:rPr>
          <w:rFonts w:ascii="Times New Roman" w:hAnsi="Times New Roman" w:cs="Times New Roman"/>
          <w:b/>
          <w:bCs/>
        </w:rPr>
        <w:lastRenderedPageBreak/>
        <w:t>Determinación de la muestra.</w:t>
      </w:r>
    </w:p>
    <w:p w14:paraId="56994358" w14:textId="0F46733E" w:rsidR="00442C97" w:rsidRDefault="00AB5393" w:rsidP="00F67411">
      <w:pPr>
        <w:spacing w:line="480" w:lineRule="auto"/>
        <w:rPr>
          <w:rFonts w:ascii="Times New Roman" w:hAnsi="Times New Roman" w:cs="Times New Roman"/>
        </w:rPr>
      </w:pPr>
      <w:r>
        <w:rPr>
          <w:rFonts w:ascii="Times New Roman" w:hAnsi="Times New Roman" w:cs="Times New Roman"/>
        </w:rPr>
        <w:t>El tipo de muestreo que se utilizó fue aleatorio simple, teniendo que en cuenta que todas las empresas que hacían parte de la población tienen su misma posibilidad de ser elegido para formar parte de la muestra.</w:t>
      </w:r>
    </w:p>
    <w:p w14:paraId="54DDD08B" w14:textId="4B2BC420" w:rsidR="00AB5393" w:rsidRDefault="00AB5393" w:rsidP="004A372B">
      <w:pPr>
        <w:jc w:val="center"/>
        <w:rPr>
          <w:rFonts w:ascii="Times New Roman" w:hAnsi="Times New Roman" w:cs="Times New Roman"/>
        </w:rPr>
      </w:pPr>
    </w:p>
    <w:p w14:paraId="479CF98D" w14:textId="545BBDD1" w:rsidR="004A372B" w:rsidRPr="00442C97" w:rsidRDefault="00395424" w:rsidP="004A372B">
      <w:pPr>
        <w:rPr>
          <w:rFonts w:ascii="Times New Roman" w:hAnsi="Times New Roman" w:cs="Times New Roman"/>
        </w:rPr>
      </w:pPr>
      <m:oMathPara>
        <m:oMath>
          <m:r>
            <w:rPr>
              <w:rFonts w:ascii="Cambria Math" w:hAnsi="Cambria Math" w:cs="Times New Roman"/>
            </w:rPr>
            <m:t>Tamaño de muestra=</m:t>
          </m:r>
          <m:f>
            <m:fPr>
              <m:ctrlPr>
                <w:rPr>
                  <w:rFonts w:ascii="Cambria Math" w:hAnsi="Cambria Math" w:cs="Times New Roman"/>
                  <w:i/>
                </w:rPr>
              </m:ctrlPr>
            </m:fPr>
            <m:num>
              <m:f>
                <m:fPr>
                  <m:ctrlPr>
                    <w:rPr>
                      <w:rFonts w:ascii="Cambria Math" w:hAnsi="Cambria Math" w:cs="Times New Roman"/>
                      <w:i/>
                    </w:rPr>
                  </m:ctrlPr>
                </m:fPr>
                <m:num>
                  <m:sSup>
                    <m:sSupPr>
                      <m:ctrlPr>
                        <w:rPr>
                          <w:rFonts w:ascii="Cambria Math" w:hAnsi="Cambria Math" w:cs="Times New Roman"/>
                          <w:i/>
                        </w:rPr>
                      </m:ctrlPr>
                    </m:sSupPr>
                    <m:e>
                      <m:r>
                        <w:rPr>
                          <w:rFonts w:ascii="Cambria Math" w:hAnsi="Cambria Math" w:cs="Times New Roman"/>
                        </w:rPr>
                        <m:t>z</m:t>
                      </m:r>
                    </m:e>
                    <m:sup>
                      <m:r>
                        <w:rPr>
                          <w:rFonts w:ascii="Cambria Math" w:hAnsi="Cambria Math" w:cs="Times New Roman"/>
                        </w:rPr>
                        <m:t>2</m:t>
                      </m:r>
                    </m:sup>
                  </m:sSup>
                  <m:r>
                    <w:rPr>
                      <w:rFonts w:ascii="Cambria Math" w:hAnsi="Cambria Math" w:cs="Times New Roman"/>
                    </w:rPr>
                    <m:t>×p (1-p)</m:t>
                  </m:r>
                </m:num>
                <m:den>
                  <m:sSup>
                    <m:sSupPr>
                      <m:ctrlPr>
                        <w:rPr>
                          <w:rFonts w:ascii="Cambria Math" w:hAnsi="Cambria Math" w:cs="Times New Roman"/>
                          <w:i/>
                        </w:rPr>
                      </m:ctrlPr>
                    </m:sSupPr>
                    <m:e>
                      <m:r>
                        <w:rPr>
                          <w:rFonts w:ascii="Cambria Math" w:hAnsi="Cambria Math" w:cs="Times New Roman"/>
                        </w:rPr>
                        <m:t>e</m:t>
                      </m:r>
                    </m:e>
                    <m:sup>
                      <m:r>
                        <w:rPr>
                          <w:rFonts w:ascii="Cambria Math" w:hAnsi="Cambria Math" w:cs="Times New Roman"/>
                        </w:rPr>
                        <m:t>2</m:t>
                      </m:r>
                    </m:sup>
                  </m:sSup>
                </m:den>
              </m:f>
            </m:num>
            <m:den>
              <m:r>
                <w:rPr>
                  <w:rFonts w:ascii="Cambria Math" w:hAnsi="Cambria Math" w:cs="Times New Roman"/>
                </w:rPr>
                <m:t>1+(</m:t>
              </m:r>
              <m:r>
                <w:rPr>
                  <w:rFonts w:ascii="Cambria Math" w:hAnsi="Cambria Math" w:cs="Times New Roman"/>
                </w:rPr>
                <m:t xml:space="preserve"> </m:t>
              </m:r>
              <m:f>
                <m:fPr>
                  <m:ctrlPr>
                    <w:rPr>
                      <w:rFonts w:ascii="Cambria Math" w:hAnsi="Cambria Math" w:cs="Times New Roman"/>
                      <w:i/>
                    </w:rPr>
                  </m:ctrlPr>
                </m:fPr>
                <m:num>
                  <m:sSup>
                    <m:sSupPr>
                      <m:ctrlPr>
                        <w:rPr>
                          <w:rFonts w:ascii="Cambria Math" w:hAnsi="Cambria Math" w:cs="Times New Roman"/>
                          <w:i/>
                        </w:rPr>
                      </m:ctrlPr>
                    </m:sSupPr>
                    <m:e>
                      <m:r>
                        <w:rPr>
                          <w:rFonts w:ascii="Cambria Math" w:hAnsi="Cambria Math" w:cs="Times New Roman"/>
                        </w:rPr>
                        <m:t>z</m:t>
                      </m:r>
                    </m:e>
                    <m:sup>
                      <m:r>
                        <w:rPr>
                          <w:rFonts w:ascii="Cambria Math" w:hAnsi="Cambria Math" w:cs="Times New Roman"/>
                        </w:rPr>
                        <m:t>2</m:t>
                      </m:r>
                    </m:sup>
                  </m:sSup>
                  <m:r>
                    <w:rPr>
                      <w:rFonts w:ascii="Cambria Math" w:hAnsi="Cambria Math" w:cs="Times New Roman"/>
                    </w:rPr>
                    <m:t xml:space="preserve">×p </m:t>
                  </m:r>
                  <m:d>
                    <m:dPr>
                      <m:ctrlPr>
                        <w:rPr>
                          <w:rFonts w:ascii="Cambria Math" w:hAnsi="Cambria Math" w:cs="Times New Roman"/>
                          <w:i/>
                        </w:rPr>
                      </m:ctrlPr>
                    </m:dPr>
                    <m:e>
                      <m:r>
                        <w:rPr>
                          <w:rFonts w:ascii="Cambria Math" w:hAnsi="Cambria Math" w:cs="Times New Roman"/>
                        </w:rPr>
                        <m:t>1-p</m:t>
                      </m:r>
                    </m:e>
                  </m:d>
                </m:num>
                <m:den>
                  <m:sSup>
                    <m:sSupPr>
                      <m:ctrlPr>
                        <w:rPr>
                          <w:rFonts w:ascii="Cambria Math" w:hAnsi="Cambria Math" w:cs="Times New Roman"/>
                          <w:i/>
                        </w:rPr>
                      </m:ctrlPr>
                    </m:sSupPr>
                    <m:e>
                      <m:r>
                        <w:rPr>
                          <w:rFonts w:ascii="Cambria Math" w:hAnsi="Cambria Math" w:cs="Times New Roman"/>
                        </w:rPr>
                        <m:t>e</m:t>
                      </m:r>
                    </m:e>
                    <m:sup>
                      <m:r>
                        <w:rPr>
                          <w:rFonts w:ascii="Cambria Math" w:hAnsi="Cambria Math" w:cs="Times New Roman"/>
                        </w:rPr>
                        <m:t>2</m:t>
                      </m:r>
                    </m:sup>
                  </m:sSup>
                  <m:r>
                    <w:rPr>
                      <w:rFonts w:ascii="Cambria Math" w:hAnsi="Cambria Math" w:cs="Times New Roman"/>
                    </w:rPr>
                    <m:t>N</m:t>
                  </m:r>
                </m:den>
              </m:f>
              <m:r>
                <w:rPr>
                  <w:rFonts w:ascii="Cambria Math" w:hAnsi="Cambria Math" w:cs="Times New Roman"/>
                </w:rPr>
                <m:t xml:space="preserve"> </m:t>
              </m:r>
              <m:r>
                <w:rPr>
                  <w:rFonts w:ascii="Cambria Math" w:hAnsi="Cambria Math" w:cs="Times New Roman"/>
                </w:rPr>
                <m:t>)</m:t>
              </m:r>
            </m:den>
          </m:f>
        </m:oMath>
      </m:oMathPara>
    </w:p>
    <w:p w14:paraId="43182498" w14:textId="1B7DDE77" w:rsidR="005B7326" w:rsidRDefault="005B7326" w:rsidP="005B7326"/>
    <w:p w14:paraId="209FF506" w14:textId="74679962" w:rsidR="00395424" w:rsidRDefault="00395424" w:rsidP="005B7326">
      <w:r>
        <w:t>De acuerdo con la formula establecida para determinar el tamaño de muestra, tenemos que:</w:t>
      </w:r>
    </w:p>
    <w:p w14:paraId="3CA1428C" w14:textId="14C50EDF" w:rsidR="00294ED7" w:rsidRPr="00294ED7" w:rsidRDefault="00395424" w:rsidP="005B7326">
      <w:pPr>
        <w:rPr>
          <w:rFonts w:eastAsiaTheme="minorEastAsia"/>
        </w:rPr>
      </w:pPr>
      <m:oMathPara>
        <m:oMathParaPr>
          <m:jc m:val="left"/>
        </m:oMathParaPr>
        <m:oMath>
          <m:r>
            <w:rPr>
              <w:rFonts w:ascii="Cambria Math" w:hAnsi="Cambria Math"/>
            </w:rPr>
            <m:t>Z=1,96</m:t>
          </m:r>
          <m:r>
            <w:rPr>
              <w:rFonts w:ascii="Cambria Math" w:hAnsi="Cambria Math"/>
            </w:rPr>
            <w:br/>
          </m:r>
        </m:oMath>
        <m:oMath>
          <m:r>
            <w:rPr>
              <w:rFonts w:ascii="Cambria Math" w:eastAsiaTheme="minorEastAsia" w:hAnsi="Cambria Math"/>
            </w:rPr>
            <m:t>p=50%</m:t>
          </m:r>
          <m:r>
            <w:rPr>
              <w:rFonts w:ascii="Cambria Math" w:eastAsiaTheme="minorEastAsia" w:hAnsi="Cambria Math"/>
            </w:rPr>
            <w:br/>
          </m:r>
        </m:oMath>
        <m:oMath>
          <m:r>
            <w:rPr>
              <w:rFonts w:ascii="Cambria Math" w:eastAsiaTheme="minorEastAsia" w:hAnsi="Cambria Math"/>
            </w:rPr>
            <m:t>e=15%</m:t>
          </m:r>
          <m:r>
            <w:rPr>
              <w:rFonts w:ascii="Cambria Math" w:eastAsiaTheme="minorEastAsia" w:hAnsi="Cambria Math"/>
            </w:rPr>
            <w:br/>
          </m:r>
        </m:oMath>
        <m:oMath>
          <m:r>
            <w:rPr>
              <w:rFonts w:ascii="Cambria Math" w:eastAsiaTheme="minorEastAsia" w:hAnsi="Cambria Math"/>
            </w:rPr>
            <m:t>N=123</m:t>
          </m:r>
        </m:oMath>
      </m:oMathPara>
    </w:p>
    <w:p w14:paraId="61FCCC1D" w14:textId="5147972B" w:rsidR="00294ED7" w:rsidRPr="00294ED7" w:rsidRDefault="00294ED7" w:rsidP="005B7326">
      <w:pPr>
        <w:rPr>
          <w:rFonts w:eastAsiaTheme="minorEastAsia"/>
        </w:rPr>
      </w:pPr>
      <m:oMathPara>
        <m:oMath>
          <m:r>
            <w:rPr>
              <w:rFonts w:ascii="Cambria Math" w:eastAsiaTheme="minorEastAsia" w:hAnsi="Cambria Math"/>
            </w:rPr>
            <m:t>Tamaño de muestra=25 empresas</m:t>
          </m:r>
        </m:oMath>
      </m:oMathPara>
    </w:p>
    <w:p w14:paraId="64FE945A" w14:textId="77777777" w:rsidR="00294ED7" w:rsidRPr="00F67411" w:rsidRDefault="00294ED7" w:rsidP="00F67411">
      <w:pPr>
        <w:spacing w:line="480" w:lineRule="auto"/>
        <w:jc w:val="both"/>
        <w:rPr>
          <w:rFonts w:ascii="Times New Roman" w:eastAsiaTheme="minorEastAsia" w:hAnsi="Times New Roman" w:cs="Times New Roman"/>
        </w:rPr>
      </w:pPr>
    </w:p>
    <w:p w14:paraId="1656E272" w14:textId="64BCAB74" w:rsidR="00294ED7" w:rsidRPr="00F67411" w:rsidRDefault="00294ED7" w:rsidP="00F67411">
      <w:pPr>
        <w:pStyle w:val="Prrafodelista"/>
        <w:numPr>
          <w:ilvl w:val="0"/>
          <w:numId w:val="2"/>
        </w:numPr>
        <w:spacing w:line="480" w:lineRule="auto"/>
        <w:jc w:val="both"/>
        <w:rPr>
          <w:rFonts w:ascii="Times New Roman" w:eastAsiaTheme="minorEastAsia" w:hAnsi="Times New Roman" w:cs="Times New Roman"/>
          <w:b/>
          <w:bCs/>
        </w:rPr>
      </w:pPr>
      <w:r w:rsidRPr="00F67411">
        <w:rPr>
          <w:rFonts w:ascii="Times New Roman" w:eastAsiaTheme="minorEastAsia" w:hAnsi="Times New Roman" w:cs="Times New Roman"/>
          <w:b/>
          <w:bCs/>
        </w:rPr>
        <w:t>Aplicación de la encuesta.</w:t>
      </w:r>
    </w:p>
    <w:p w14:paraId="6B50C9D5" w14:textId="30C7F1D3" w:rsidR="00174C92" w:rsidRPr="00F67411" w:rsidRDefault="00174C92" w:rsidP="00F67411">
      <w:pPr>
        <w:spacing w:line="480" w:lineRule="auto"/>
        <w:jc w:val="both"/>
        <w:rPr>
          <w:rFonts w:ascii="Times New Roman" w:eastAsiaTheme="minorEastAsia" w:hAnsi="Times New Roman" w:cs="Times New Roman"/>
        </w:rPr>
      </w:pPr>
      <w:r w:rsidRPr="00F67411">
        <w:rPr>
          <w:rFonts w:ascii="Times New Roman" w:eastAsiaTheme="minorEastAsia" w:hAnsi="Times New Roman" w:cs="Times New Roman"/>
        </w:rPr>
        <w:t xml:space="preserve">La aplicación de la encuesta se realizó de manera sistemática, comenzando con la selección de una muestra representativa de la población objetivo. Se utilizó un método de muestreo aleatorio para garantizar que todas las </w:t>
      </w:r>
      <w:r w:rsidRPr="00F67411">
        <w:rPr>
          <w:rFonts w:ascii="Times New Roman" w:eastAsiaTheme="minorEastAsia" w:hAnsi="Times New Roman" w:cs="Times New Roman"/>
        </w:rPr>
        <w:t>empresas</w:t>
      </w:r>
      <w:r w:rsidRPr="00F67411">
        <w:rPr>
          <w:rFonts w:ascii="Times New Roman" w:eastAsiaTheme="minorEastAsia" w:hAnsi="Times New Roman" w:cs="Times New Roman"/>
        </w:rPr>
        <w:t xml:space="preserve"> dentro de la población tuvieran la misma probabilidad de ser seleccionadas. La encuesta fue distribuida tanto en formato digital, a través de correos electrónicos</w:t>
      </w:r>
      <w:r w:rsidRPr="00F67411">
        <w:rPr>
          <w:rFonts w:ascii="Times New Roman" w:eastAsiaTheme="minorEastAsia" w:hAnsi="Times New Roman" w:cs="Times New Roman"/>
        </w:rPr>
        <w:t xml:space="preserve"> y mensajes vía WhatsApp</w:t>
      </w:r>
      <w:r w:rsidRPr="00F67411">
        <w:rPr>
          <w:rFonts w:ascii="Times New Roman" w:eastAsiaTheme="minorEastAsia" w:hAnsi="Times New Roman" w:cs="Times New Roman"/>
        </w:rPr>
        <w:t xml:space="preserve">, </w:t>
      </w:r>
      <w:r w:rsidRPr="00F67411">
        <w:rPr>
          <w:rFonts w:ascii="Times New Roman" w:eastAsiaTheme="minorEastAsia" w:hAnsi="Times New Roman" w:cs="Times New Roman"/>
        </w:rPr>
        <w:t>también fue aplicada directamente</w:t>
      </w:r>
      <w:r w:rsidRPr="00F67411">
        <w:rPr>
          <w:rFonts w:ascii="Times New Roman" w:eastAsiaTheme="minorEastAsia" w:hAnsi="Times New Roman" w:cs="Times New Roman"/>
        </w:rPr>
        <w:t xml:space="preserve"> </w:t>
      </w:r>
      <w:r w:rsidRPr="00F67411">
        <w:rPr>
          <w:rFonts w:ascii="Times New Roman" w:eastAsiaTheme="minorEastAsia" w:hAnsi="Times New Roman" w:cs="Times New Roman"/>
        </w:rPr>
        <w:t xml:space="preserve">de manera presencial </w:t>
      </w:r>
      <w:r w:rsidRPr="00F67411">
        <w:rPr>
          <w:rFonts w:ascii="Times New Roman" w:eastAsiaTheme="minorEastAsia" w:hAnsi="Times New Roman" w:cs="Times New Roman"/>
        </w:rPr>
        <w:t xml:space="preserve">a </w:t>
      </w:r>
      <w:r w:rsidRPr="00F67411">
        <w:rPr>
          <w:rFonts w:ascii="Times New Roman" w:eastAsiaTheme="minorEastAsia" w:hAnsi="Times New Roman" w:cs="Times New Roman"/>
        </w:rPr>
        <w:t>algunas empresas que se encontraban u</w:t>
      </w:r>
      <w:r w:rsidRPr="00F67411">
        <w:rPr>
          <w:rFonts w:ascii="Times New Roman" w:eastAsiaTheme="minorEastAsia" w:hAnsi="Times New Roman" w:cs="Times New Roman"/>
        </w:rPr>
        <w:t>bica</w:t>
      </w:r>
      <w:r w:rsidRPr="00F67411">
        <w:rPr>
          <w:rFonts w:ascii="Times New Roman" w:eastAsiaTheme="minorEastAsia" w:hAnsi="Times New Roman" w:cs="Times New Roman"/>
        </w:rPr>
        <w:t xml:space="preserve">das de manera </w:t>
      </w:r>
      <w:r w:rsidRPr="00F67411">
        <w:rPr>
          <w:rFonts w:ascii="Times New Roman" w:eastAsiaTheme="minorEastAsia" w:hAnsi="Times New Roman" w:cs="Times New Roman"/>
        </w:rPr>
        <w:t>estratégic</w:t>
      </w:r>
      <w:r w:rsidRPr="00F67411">
        <w:rPr>
          <w:rFonts w:ascii="Times New Roman" w:eastAsiaTheme="minorEastAsia" w:hAnsi="Times New Roman" w:cs="Times New Roman"/>
        </w:rPr>
        <w:t>a de las cuales no se obtuvo respuesta de manera virtual</w:t>
      </w:r>
      <w:r w:rsidRPr="00F67411">
        <w:rPr>
          <w:rFonts w:ascii="Times New Roman" w:eastAsiaTheme="minorEastAsia" w:hAnsi="Times New Roman" w:cs="Times New Roman"/>
        </w:rPr>
        <w:t xml:space="preserve">. Antes de la recolección de datos, se brindó a los encuestados una breve </w:t>
      </w:r>
      <w:r w:rsidRPr="00F67411">
        <w:rPr>
          <w:rFonts w:ascii="Times New Roman" w:eastAsiaTheme="minorEastAsia" w:hAnsi="Times New Roman" w:cs="Times New Roman"/>
        </w:rPr>
        <w:lastRenderedPageBreak/>
        <w:t>explicación sobre el propósito del estudio, asegurando la confidencialidad de sus respuestas. El proceso de recolección se llevó a cabo durante un período específico, con un seguimiento regular para maximizar la tasa de respuesta y garantizar la calidad y precisión de los datos obtenidos.</w:t>
      </w:r>
    </w:p>
    <w:p w14:paraId="58DE79F4" w14:textId="77777777" w:rsidR="00174C92" w:rsidRPr="00F67411" w:rsidRDefault="00174C92" w:rsidP="00F67411">
      <w:pPr>
        <w:spacing w:line="480" w:lineRule="auto"/>
        <w:jc w:val="both"/>
        <w:rPr>
          <w:rFonts w:ascii="Times New Roman" w:eastAsiaTheme="minorEastAsia" w:hAnsi="Times New Roman" w:cs="Times New Roman"/>
        </w:rPr>
      </w:pPr>
    </w:p>
    <w:p w14:paraId="388A9717" w14:textId="4D60F339" w:rsidR="00F67411" w:rsidRPr="00F67411" w:rsidRDefault="00174C92" w:rsidP="00F67411">
      <w:pPr>
        <w:spacing w:line="480" w:lineRule="auto"/>
        <w:jc w:val="both"/>
        <w:rPr>
          <w:rFonts w:ascii="Times New Roman" w:eastAsiaTheme="minorEastAsia" w:hAnsi="Times New Roman" w:cs="Times New Roman"/>
        </w:rPr>
      </w:pPr>
      <w:r w:rsidRPr="00F67411">
        <w:rPr>
          <w:rFonts w:ascii="Times New Roman" w:eastAsiaTheme="minorEastAsia" w:hAnsi="Times New Roman" w:cs="Times New Roman"/>
        </w:rPr>
        <w:t xml:space="preserve">Debido a que el índice de respuesta fue bajo, se tomó la decisión de continuar con las respuestas obtenidas hasta </w:t>
      </w:r>
      <w:r w:rsidR="00F67411" w:rsidRPr="00F67411">
        <w:rPr>
          <w:rFonts w:ascii="Times New Roman" w:eastAsiaTheme="minorEastAsia" w:hAnsi="Times New Roman" w:cs="Times New Roman"/>
        </w:rPr>
        <w:t xml:space="preserve">determinado </w:t>
      </w:r>
      <w:r w:rsidRPr="00F67411">
        <w:rPr>
          <w:rFonts w:ascii="Times New Roman" w:eastAsiaTheme="minorEastAsia" w:hAnsi="Times New Roman" w:cs="Times New Roman"/>
        </w:rPr>
        <w:t>momento, considerando que el conjunto de datos recogido representaba un valor suficiente y significativo para el estudio en cuestión. Aunque una mayor participación habría sido ideal, se determinó que las respuestas actuales proporcionaban una muestra representativa y confiable, permitiendo avanzar con el análisis y alcanzar conclusiones válidas para los objetivos del estudio.</w:t>
      </w:r>
      <w:r w:rsidR="00F67411" w:rsidRPr="00F67411">
        <w:rPr>
          <w:rFonts w:ascii="Times New Roman" w:eastAsiaTheme="minorEastAsia" w:hAnsi="Times New Roman" w:cs="Times New Roman"/>
        </w:rPr>
        <w:t xml:space="preserve"> En consecuencia, a esto se incremento el porcentaje de Margen de error establecido inicialmente en un 2,5%, pasando del 15% al 17,5%. Finalmente se obtuvo una muestra de 19 empresas pymes. </w:t>
      </w:r>
    </w:p>
    <w:p w14:paraId="613BCB71" w14:textId="578558CD" w:rsidR="00A5458D" w:rsidRPr="00F67411" w:rsidRDefault="00A5458D" w:rsidP="00F67411">
      <w:pPr>
        <w:rPr>
          <w:rFonts w:eastAsiaTheme="minorEastAsia"/>
        </w:rPr>
      </w:pPr>
    </w:p>
    <w:p w14:paraId="66242F4D" w14:textId="77777777" w:rsidR="00A5458D" w:rsidRDefault="00A5458D" w:rsidP="00A5458D">
      <w:pPr>
        <w:pStyle w:val="Prrafodelista"/>
      </w:pPr>
    </w:p>
    <w:p w14:paraId="0C5FD508" w14:textId="77777777" w:rsidR="00A5458D" w:rsidRDefault="00A5458D" w:rsidP="00A5458D">
      <w:pPr>
        <w:pStyle w:val="Prrafodelista"/>
      </w:pPr>
    </w:p>
    <w:p w14:paraId="60D41765" w14:textId="77777777" w:rsidR="00A5458D" w:rsidRDefault="00A5458D" w:rsidP="00A5458D">
      <w:pPr>
        <w:pStyle w:val="Prrafodelista"/>
      </w:pPr>
    </w:p>
    <w:sectPr w:rsidR="00A5458D" w:rsidSect="00F67411">
      <w:pgSz w:w="12240" w:h="15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5D1691"/>
    <w:multiLevelType w:val="hybridMultilevel"/>
    <w:tmpl w:val="3E8E51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525B3CC5"/>
    <w:multiLevelType w:val="hybridMultilevel"/>
    <w:tmpl w:val="FFA85A5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1767572943">
    <w:abstractNumId w:val="0"/>
  </w:num>
  <w:num w:numId="2" w16cid:durableId="3094835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58D"/>
    <w:rsid w:val="00000046"/>
    <w:rsid w:val="00060633"/>
    <w:rsid w:val="00174C92"/>
    <w:rsid w:val="00294ED7"/>
    <w:rsid w:val="00395424"/>
    <w:rsid w:val="00442C97"/>
    <w:rsid w:val="004A372B"/>
    <w:rsid w:val="004B34A9"/>
    <w:rsid w:val="005B7326"/>
    <w:rsid w:val="00A5458D"/>
    <w:rsid w:val="00AB5393"/>
    <w:rsid w:val="00E23872"/>
    <w:rsid w:val="00E27576"/>
    <w:rsid w:val="00F6741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649872"/>
  <w15:chartTrackingRefBased/>
  <w15:docId w15:val="{6F24ED07-6930-4385-BDFF-8303268D2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A5458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A5458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A5458D"/>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A5458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A5458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A5458D"/>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A5458D"/>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A5458D"/>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A5458D"/>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5458D"/>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A5458D"/>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A5458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A5458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A5458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5458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5458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5458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5458D"/>
    <w:rPr>
      <w:rFonts w:eastAsiaTheme="majorEastAsia" w:cstheme="majorBidi"/>
      <w:color w:val="272727" w:themeColor="text1" w:themeTint="D8"/>
    </w:rPr>
  </w:style>
  <w:style w:type="paragraph" w:styleId="Ttulo">
    <w:name w:val="Title"/>
    <w:basedOn w:val="Normal"/>
    <w:next w:val="Normal"/>
    <w:link w:val="TtuloCar"/>
    <w:uiPriority w:val="10"/>
    <w:qFormat/>
    <w:rsid w:val="00A5458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5458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5458D"/>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A5458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5458D"/>
    <w:pPr>
      <w:spacing w:before="160"/>
      <w:jc w:val="center"/>
    </w:pPr>
    <w:rPr>
      <w:i/>
      <w:iCs/>
      <w:color w:val="404040" w:themeColor="text1" w:themeTint="BF"/>
    </w:rPr>
  </w:style>
  <w:style w:type="character" w:customStyle="1" w:styleId="CitaCar">
    <w:name w:val="Cita Car"/>
    <w:basedOn w:val="Fuentedeprrafopredeter"/>
    <w:link w:val="Cita"/>
    <w:uiPriority w:val="29"/>
    <w:rsid w:val="00A5458D"/>
    <w:rPr>
      <w:i/>
      <w:iCs/>
      <w:color w:val="404040" w:themeColor="text1" w:themeTint="BF"/>
    </w:rPr>
  </w:style>
  <w:style w:type="paragraph" w:styleId="Prrafodelista">
    <w:name w:val="List Paragraph"/>
    <w:basedOn w:val="Normal"/>
    <w:uiPriority w:val="34"/>
    <w:qFormat/>
    <w:rsid w:val="00A5458D"/>
    <w:pPr>
      <w:ind w:left="720"/>
      <w:contextualSpacing/>
    </w:pPr>
  </w:style>
  <w:style w:type="character" w:styleId="nfasisintenso">
    <w:name w:val="Intense Emphasis"/>
    <w:basedOn w:val="Fuentedeprrafopredeter"/>
    <w:uiPriority w:val="21"/>
    <w:qFormat/>
    <w:rsid w:val="00A5458D"/>
    <w:rPr>
      <w:i/>
      <w:iCs/>
      <w:color w:val="0F4761" w:themeColor="accent1" w:themeShade="BF"/>
    </w:rPr>
  </w:style>
  <w:style w:type="paragraph" w:styleId="Citadestacada">
    <w:name w:val="Intense Quote"/>
    <w:basedOn w:val="Normal"/>
    <w:next w:val="Normal"/>
    <w:link w:val="CitadestacadaCar"/>
    <w:uiPriority w:val="30"/>
    <w:qFormat/>
    <w:rsid w:val="00A5458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A5458D"/>
    <w:rPr>
      <w:i/>
      <w:iCs/>
      <w:color w:val="0F4761" w:themeColor="accent1" w:themeShade="BF"/>
    </w:rPr>
  </w:style>
  <w:style w:type="character" w:styleId="Referenciaintensa">
    <w:name w:val="Intense Reference"/>
    <w:basedOn w:val="Fuentedeprrafopredeter"/>
    <w:uiPriority w:val="32"/>
    <w:qFormat/>
    <w:rsid w:val="00A5458D"/>
    <w:rPr>
      <w:b/>
      <w:bCs/>
      <w:smallCaps/>
      <w:color w:val="0F4761" w:themeColor="accent1" w:themeShade="BF"/>
      <w:spacing w:val="5"/>
    </w:rPr>
  </w:style>
  <w:style w:type="paragraph" w:styleId="Descripcin">
    <w:name w:val="caption"/>
    <w:basedOn w:val="Normal"/>
    <w:next w:val="Normal"/>
    <w:uiPriority w:val="35"/>
    <w:unhideWhenUsed/>
    <w:qFormat/>
    <w:rsid w:val="00E23872"/>
    <w:pPr>
      <w:spacing w:after="200" w:line="240" w:lineRule="auto"/>
    </w:pPr>
    <w:rPr>
      <w:i/>
      <w:iCs/>
      <w:color w:val="0E2841" w:themeColor="text2"/>
      <w:sz w:val="18"/>
      <w:szCs w:val="18"/>
    </w:rPr>
  </w:style>
  <w:style w:type="paragraph" w:styleId="Bibliografa">
    <w:name w:val="Bibliography"/>
    <w:basedOn w:val="Normal"/>
    <w:next w:val="Normal"/>
    <w:uiPriority w:val="37"/>
    <w:unhideWhenUsed/>
    <w:rsid w:val="005B7326"/>
  </w:style>
  <w:style w:type="character" w:styleId="Textodelmarcadordeposicin">
    <w:name w:val="Placeholder Text"/>
    <w:basedOn w:val="Fuentedeprrafopredeter"/>
    <w:uiPriority w:val="99"/>
    <w:semiHidden/>
    <w:rsid w:val="004A372B"/>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242287">
      <w:bodyDiv w:val="1"/>
      <w:marLeft w:val="0"/>
      <w:marRight w:val="0"/>
      <w:marTop w:val="0"/>
      <w:marBottom w:val="0"/>
      <w:divBdr>
        <w:top w:val="none" w:sz="0" w:space="0" w:color="auto"/>
        <w:left w:val="none" w:sz="0" w:space="0" w:color="auto"/>
        <w:bottom w:val="none" w:sz="0" w:space="0" w:color="auto"/>
        <w:right w:val="none" w:sz="0" w:space="0" w:color="auto"/>
      </w:divBdr>
    </w:div>
    <w:div w:id="934482372">
      <w:bodyDiv w:val="1"/>
      <w:marLeft w:val="0"/>
      <w:marRight w:val="0"/>
      <w:marTop w:val="0"/>
      <w:marBottom w:val="0"/>
      <w:divBdr>
        <w:top w:val="none" w:sz="0" w:space="0" w:color="auto"/>
        <w:left w:val="none" w:sz="0" w:space="0" w:color="auto"/>
        <w:bottom w:val="none" w:sz="0" w:space="0" w:color="auto"/>
        <w:right w:val="none" w:sz="0" w:space="0" w:color="auto"/>
      </w:divBdr>
    </w:div>
    <w:div w:id="1560046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Cam21</b:Tag>
    <b:SourceType>InternetSite</b:SourceType>
    <b:Guid>{F7762853-8DAF-4F4D-B175-C770ACE60196}</b:Guid>
    <b:Year>2021</b:Year>
    <b:Author>
      <b:Author>
        <b:Corporate>Camara de Comercio de Bucaramanga.</b:Corporate>
      </b:Author>
    </b:Author>
    <b:InternetSiteTitle>Comite 360 Información Empresarial de Colombia.</b:InternetSiteTitle>
    <b:URL>https://www.compite360.com/</b:URL>
    <b:RefOrder>1</b:RefOrder>
  </b:Source>
</b:Sources>
</file>

<file path=customXml/itemProps1.xml><?xml version="1.0" encoding="utf-8"?>
<ds:datastoreItem xmlns:ds="http://schemas.openxmlformats.org/officeDocument/2006/customXml" ds:itemID="{7DAF3D6F-963B-40D4-AE76-1591C6531E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3</Pages>
  <Words>488</Words>
  <Characters>2687</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Baby Alexandra Gil Parra</dc:creator>
  <cp:keywords/>
  <dc:description/>
  <cp:lastModifiedBy>Baby Alexandra Gil Parra</cp:lastModifiedBy>
  <cp:revision>1</cp:revision>
  <dcterms:created xsi:type="dcterms:W3CDTF">2024-08-31T17:15:00Z</dcterms:created>
  <dcterms:modified xsi:type="dcterms:W3CDTF">2024-08-31T19:06:00Z</dcterms:modified>
</cp:coreProperties>
</file>